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EB" w:rsidRPr="00A056EB" w:rsidRDefault="00FF0FA2" w:rsidP="00FF0FA2">
      <w:pPr>
        <w:spacing w:before="1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1.</w:t>
      </w:r>
      <w:r w:rsidR="00A056EB" w:rsidRPr="00A056EB">
        <w:rPr>
          <w:rFonts w:ascii="Times New Roman" w:eastAsia="Calibri" w:hAnsi="Times New Roman" w:cs="Times New Roman"/>
          <w:b/>
          <w:sz w:val="30"/>
          <w:szCs w:val="30"/>
        </w:rPr>
        <w:t>СИЛЬНЫЙ ЛИДЕР – ГАРАНТ СТАБИЛЬНОСТИ И БЕЗОПАСНОСТИ ГОСУДАРСТВА: К 30-ЛЕТИЮ ИНСТИТУТА ПРЕЗИДЕНТСТВА В РЕСПУБЛИКЕ БЕЛАРУСЬ</w:t>
      </w:r>
    </w:p>
    <w:p w:rsidR="00A056EB" w:rsidRPr="00A056EB" w:rsidRDefault="00A056EB" w:rsidP="00A056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ть, из сколь </w:t>
      </w:r>
      <w:proofErr w:type="spellStart"/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незавидного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тартового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материала“ удалось построить независимую и суверенную страну, устремленную в будущее.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 w:rsidR="00A42B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</w:t>
      </w:r>
      <w:proofErr w:type="gramStart"/>
      <w:r w:rsidR="00A42B52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A42B52"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</w:t>
      </w:r>
      <w:proofErr w:type="gramEnd"/>
      <w:r w:rsidR="00A42B52"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террора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всеобщей нищеты“.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собрании сказал: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Опубликованная в январе 1994 г. заметка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Белинформа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За одно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инске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 w:rsidR="00A056EB" w:rsidRPr="00A056EB" w:rsidRDefault="00A42B52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</w:t>
      </w:r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”лихие“ годы общество как никогда нуждалось в национальном лидере, способном отвести страну от пропасти. 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была отмечена попытками коррумпированной номенклатуры и националистов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помешать народу сделать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Мандат народного доверия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8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9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10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11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A056EB" w:rsidRPr="00A056EB" w:rsidRDefault="00A056EB" w:rsidP="00A056EB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, в борьбе за независимость и суверенитет сплотившим вокруг себя подлинно патриотические силы.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журналистами,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12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  <w:proofErr w:type="gramEnd"/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следовать ”рекомендациям“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не только сами себя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то сегодня уровень </w:t>
      </w:r>
      <w:proofErr w:type="spellStart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3,6%.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A056EB" w:rsidRPr="00A056EB" w:rsidRDefault="00A056EB" w:rsidP="00A056EB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 время вспышки в 2020 году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коронавирусной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комиссии по борьбе с коррупцией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, газета ”Советская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056EB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”Впервые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</w:t>
      </w:r>
      <w:r w:rsidR="00D34F83">
        <w:rPr>
          <w:rFonts w:ascii="Times New Roman" w:eastAsia="Calibri" w:hAnsi="Times New Roman" w:cs="Times New Roman"/>
          <w:sz w:val="30"/>
          <w:szCs w:val="30"/>
        </w:rPr>
        <w:t xml:space="preserve">зопасности Республики Беларусь,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056EB" w:rsidRPr="00A056EB" w:rsidRDefault="00A056EB" w:rsidP="00A056E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301D2C" w:rsidRDefault="00A056EB" w:rsidP="00FF0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sectPr w:rsidR="00301D2C" w:rsidSect="00FF0FA2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F6" w:rsidRDefault="003320F6" w:rsidP="007534C3">
      <w:pPr>
        <w:spacing w:after="0" w:line="240" w:lineRule="auto"/>
      </w:pPr>
      <w:r>
        <w:separator/>
      </w:r>
    </w:p>
  </w:endnote>
  <w:endnote w:type="continuationSeparator" w:id="0">
    <w:p w:rsidR="003320F6" w:rsidRDefault="003320F6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F6" w:rsidRDefault="003320F6" w:rsidP="007534C3">
      <w:pPr>
        <w:spacing w:after="0" w:line="240" w:lineRule="auto"/>
      </w:pPr>
      <w:r>
        <w:separator/>
      </w:r>
    </w:p>
  </w:footnote>
  <w:footnote w:type="continuationSeparator" w:id="0">
    <w:p w:rsidR="003320F6" w:rsidRDefault="003320F6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4C3" w:rsidRPr="007534C3" w:rsidRDefault="007534C3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F0FA2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7534C3" w:rsidRDefault="007534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5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04E93"/>
    <w:rsid w:val="00074096"/>
    <w:rsid w:val="000D0D2D"/>
    <w:rsid w:val="000F7B9F"/>
    <w:rsid w:val="002F3AD8"/>
    <w:rsid w:val="00301D2C"/>
    <w:rsid w:val="003320F6"/>
    <w:rsid w:val="004E5313"/>
    <w:rsid w:val="005C3E00"/>
    <w:rsid w:val="007534C3"/>
    <w:rsid w:val="00917903"/>
    <w:rsid w:val="00957282"/>
    <w:rsid w:val="00A056EB"/>
    <w:rsid w:val="00A14381"/>
    <w:rsid w:val="00A42B52"/>
    <w:rsid w:val="00A42E95"/>
    <w:rsid w:val="00A86BD2"/>
    <w:rsid w:val="00B65E6C"/>
    <w:rsid w:val="00BB5956"/>
    <w:rsid w:val="00D34F83"/>
    <w:rsid w:val="00D641E7"/>
    <w:rsid w:val="00DD6D12"/>
    <w:rsid w:val="00FF0FA2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dcterms:created xsi:type="dcterms:W3CDTF">2024-07-15T07:11:00Z</dcterms:created>
  <dcterms:modified xsi:type="dcterms:W3CDTF">2024-07-15T07:14:00Z</dcterms:modified>
</cp:coreProperties>
</file>