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F0" w:rsidRPr="006B2EF0" w:rsidRDefault="006B2EF0" w:rsidP="006B2EF0">
      <w:pPr>
        <w:spacing w:before="100" w:beforeAutospacing="1" w:after="100" w:afterAutospacing="1" w:line="240" w:lineRule="auto"/>
        <w:jc w:val="center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Рекомендации для потенциальных субъектов хозяйствования, предусматривающие пошаговый алгоритм действий по открытию малых пекарен в регионах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Основным нормативным правовым актом для руководства при открытии пекарен является Декрет Президента Республики Беларусь от 23.11.2017 № 7 «О развитии предпринимательства».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1. Определение формы собственности и регистрация.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Осуществление деятельности по производству хлеба и хлебобулочных </w:t>
      </w:r>
      <w:proofErr w:type="gram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изделий</w:t>
      </w:r>
      <w:proofErr w:type="gram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 возможно осуществлять в правовых формах индивидуального предпринимателя или юридического лица.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Более подробно об организационно-правовых формах юридических лиц: </w:t>
      </w:r>
      <w:hyperlink r:id="rId4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https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etalonline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document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/?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regnum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=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HK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9800218 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(глава 4 подраздела 2 раздела 1 Гражданского кодекса Республики Беларусь).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Государственная регистрация осуществляется регистрирующим органом.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Определение регистрирующего органа: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5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egr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gov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egrn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index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jsp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?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content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=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RegAuthority</w:t>
        </w:r>
        <w:proofErr w:type="spellEnd"/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Пошаговая инструкция предоставления в регистрирующий орган электронных документов для государственной регистрации субъектов хозяйствования: </w:t>
      </w:r>
      <w:hyperlink r:id="rId6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 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https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egr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gov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egrn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index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jsp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?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content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=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eJurRegForm</w:t>
        </w:r>
        <w:proofErr w:type="spellEnd"/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2. Уведомление местных исполнительных органов о намерениях вашей деятельности.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После того, как субъектом хозяйствования подготовлена необходимая инфраструктура для ведения деятельности, о начале ее осуществления необходимо письменно уведомить местный исполнительный орган.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Форма и порядок направления уведомления: </w:t>
      </w:r>
      <w:hyperlink r:id="rId7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https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pravo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document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/?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guid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=12551&amp;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p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0=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C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21800143&amp;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p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1=1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3. Определение помещения или участка (при строительстве) в целях последующего создания малой пекарни.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lastRenderedPageBreak/>
        <w:t>В качестве критерия подбора нужно учитывать 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Состав требований: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8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www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government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upload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docs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file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87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fef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62389347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a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9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PDF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;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Перечень перспективных объектов и земельных участков для целей последующего создания малых пекарен предоставляется местными исполнительными органами власти 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val="be-BY" w:eastAsia="ru-RU"/>
        </w:rPr>
        <w:t>при обращении потенциальных инвесторов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4. Проведение государственной санитарно-гигиенической экспертизы объекта.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Производство хлебобулочных изделий относится к работам и услугам, представляющим потенциальную опасность для жизни и здоровья населения. Поэтому оно является объектом, подлежащим государственной санитарно-гигиенической экспертизе. Такую экспертизу необходимо провести в течение месяца со дня направления письменного уведомления в местный исполнительный орган.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Порядок и условия проведения экспертизы: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9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https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rcheph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administrativnye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protsedury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provedenie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rabot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po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gosudarstvennoy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</w:hyperlink>
      <w:hyperlink r:id="rId10" w:history="1"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sanitarno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gigienicheskoy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ekspertize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s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vydachey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sanitarno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gigieni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5. Взаимодействие с налоговыми органами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При осуществлении деятельности субъект хозяйствования обязан: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а) 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уплачивать налоги, сборы, государственные пошлины.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Виды налогов: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11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www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nalog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gov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ru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nalogi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uplachivaemye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organizaciyami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;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б) 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вести бухгалтерский учет и отчетность.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Более подробно о порядке ведения бухгалтерского учета и отчетности: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12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www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minfin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gov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ru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accounting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lastRenderedPageBreak/>
        <w:t>в) 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должен предоставлять информацию в налоговые органы.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Информация по предоставлению документов в электронном виде: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13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www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nalog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gov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ru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aktualnaya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informatiya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po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predostavleniu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IP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v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nalog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organy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v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</w:t>
      </w:r>
      <w:hyperlink r:id="rId14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el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vide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6. Организация производства.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При осуществлении деятельности необходимо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к содержанию и эксплуатации капитальных строений (зданий, сооружений), изолированных помещений и иных объектов, установленные Декретом Президента Республики Беларусь от 23.11.2017 № 7 «О развитии предпринимательства».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6.1. Определение ассортимента продукции, планируемого для производства, и объема выпуска продукции.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6.2. Закупка оборудования.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Подбор оборудования необходимо осуществлять в зависимости от выбранного ассортимента продукции, планируемого объема выпуска продукции и площади помещения.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Технологическое оборудование, необходимое для производства хлебобулочных изделий: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основное оборудование (</w:t>
      </w:r>
      <w:proofErr w:type="spell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просеиватель</w:t>
      </w:r>
      <w:proofErr w:type="spell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 муки, </w:t>
      </w:r>
      <w:proofErr w:type="spell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тестомеситель</w:t>
      </w:r>
      <w:proofErr w:type="spell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, тестоформовочное оборудование, шкаф </w:t>
      </w:r>
      <w:proofErr w:type="spell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расстойный</w:t>
      </w:r>
      <w:proofErr w:type="spell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, печь хлебопекарная, упаковочно-резательное и вентиляционное оборудование);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дополнительное оборудование (емкости и холодильники для хранения сырья, дозаторы, стеллажи, </w:t>
      </w:r>
      <w:proofErr w:type="spell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дежи</w:t>
      </w:r>
      <w:proofErr w:type="spell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 для теста, пекарские столы, хлебные тележки и др.).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6.3. Разработка и утверждение технической документации (технические условия, технологические инструкции, рецептуры и др.).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6.4. Изготовление опытных образцов готовой продукции.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Проведение пробных выпечек выбранного ассортимента продукции на предмет соответствия изделий требованиям технических нормативных правовых актов.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6.5. Требования к безопасности продукции и подтверждение соответствия (декларирование).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lastRenderedPageBreak/>
        <w:t>Безопасность хлебобулочных изделий регламентируются следующими техническими регламентами Таможенного союза: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15" w:history="1">
        <w:proofErr w:type="gram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ТР</w:t>
        </w:r>
        <w:proofErr w:type="gram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 xml:space="preserve"> ТС 021/2011 «О безопасности пищевой продукции» (далее ТР ТС 021/2011)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;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16" w:history="1">
        <w:proofErr w:type="gram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ТР</w:t>
        </w:r>
        <w:proofErr w:type="gram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 xml:space="preserve"> ТС 022/2011 «Пищевая продукция в части ее маркировки»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;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17" w:history="1">
        <w:proofErr w:type="gram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ТР</w:t>
        </w:r>
        <w:proofErr w:type="gram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 xml:space="preserve"> ТС 029/2012 «Требования безопасности пищевых добавок, 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ароматизаторов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 xml:space="preserve"> и технологических вспомогательных средств»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Обязательное подтверждение соответствия хлебобулочных изделий требованиям </w:t>
      </w:r>
      <w:proofErr w:type="gram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ТР</w:t>
      </w:r>
      <w:proofErr w:type="gram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ТС 021/2011 проводится в форме декларирования соответствия.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Реестр органов по сертификации:</w:t>
      </w:r>
      <w:hyperlink r:id="rId18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 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https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bsca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ru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registry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-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certif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all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6.6. Закупка сырья, осуществляемая на основании договора поставки.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Гражданско-правовое регулирование: </w:t>
      </w:r>
      <w:hyperlink r:id="rId19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https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etalonline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document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/?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regnum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=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HK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9800218 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(§ 3 гл. 30);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6.7. Выпуск и реализация готовой продукции.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Реализация продукции осуществляется на основании договора поставки (если покупателем является юридическое лицо), договора розничной купли-продажи (если покупателем является физическое лицо).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Гражданско-правовое регулирование: </w:t>
      </w:r>
      <w:hyperlink r:id="rId20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https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://</w:t>
        </w:r>
        <w:proofErr w:type="spellStart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etalonline</w:t>
        </w:r>
        <w:proofErr w:type="spellEnd"/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.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by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document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/?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regnum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=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val="en-US" w:eastAsia="ru-RU"/>
          </w:rPr>
          <w:t>HK</w:t>
        </w:r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9800218 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(§§ 2, 3 гл. 30).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7. Внесение сведений о субъекте торговли в Торговый реестр (при осуществлении, в том числе, торговой деятельности).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При осуществлении торговой деятельности субъекту хозяйствования до начала осуществления деятельности в объекте общественного питания необходимо включить сведения о таком объекте общественного питания (мини-пекарне) в Торговый реестр Республики Беларусь (далее – Торговый реестр).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Заявления представляются субъектами хозяйствования для включения сведений в Торговый реестр в городские, районные исполнительные комитеты, местные администрации районов в городе Минске (по месту нахождения объекта) по каждому</w:t>
      </w: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 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объекту общественного питания.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Формы заявлений для включения сведений в Торговый реестр размещены на сайте МАРТ в разделе Деятельность / Торговля и услуги / Торговый реестр / Формы заявлений: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hyperlink r:id="rId21" w:history="1">
        <w:r w:rsidRPr="006B2EF0">
          <w:rPr>
            <w:rFonts w:ascii="Jost" w:eastAsia="Times New Roman" w:hAnsi="Jost" w:cs="Times New Roman"/>
            <w:color w:val="2D5E5A"/>
            <w:sz w:val="27"/>
            <w:u w:val="single"/>
            <w:lang w:eastAsia="ru-RU"/>
          </w:rPr>
          <w:t>https://mart.gov.by/activity/torgovlya-i-uslugi/torgovyy-reestr/formy-uvedomleniy/</w:t>
        </w:r>
      </w:hyperlink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8. Источники финансирования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val="en-US" w:eastAsia="ru-RU"/>
        </w:rPr>
        <w:t>C</w:t>
      </w:r>
      <w:proofErr w:type="spell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уществующая</w:t>
      </w:r>
      <w:proofErr w:type="spell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 в ОАО «Банк развития» (далее – Банк развития) система финансовой поддержки субъектов малого и среднего предпринимательства (далее - МСП</w:t>
      </w:r>
      <w:proofErr w:type="gram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)позволяет</w:t>
      </w:r>
      <w:proofErr w:type="gram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 организациям, планирующим открытие малых пекарен в регионах, привлечь финансирование как на цели текущей, так и инвестиционной деятельности на льготных условиях.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Для получения финансирования за счет ресурсов Банка развития субъект МСП может обратиться к любому партнеру по следующему алгоритму: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Справочно: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Партнерами Программы финансовой поддержки субъектов МСП являются: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банки - ОАО 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Белгазпромбанк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», ОАО 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Белинвестбанк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 xml:space="preserve">», ОАО «Банк 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БелВЭБ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 xml:space="preserve">», ОАО «АСБ 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Беларусбанк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», ОАО 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Белагропромбанк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», ОАО 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Сбер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 xml:space="preserve"> Банк», ОАО 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Приорбанк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 xml:space="preserve">», ЗАО «Альфа-Банк», ОАО «Банк 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Дабрабыт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», ЗАО «Банк Решение», ОАО 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Паритетбанк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», ЗАО 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Нео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 xml:space="preserve"> Банк Азия», ЗАО «Банк ВТБ» (Беларусь), ЗАО 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МТБанк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», ОАО 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Технобанк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», ОАО «БНБ»;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лизинговые организации - ОАО 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Промагролизинг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», ООО «АСБ Лизинг», ОАО «</w:t>
      </w:r>
      <w:proofErr w:type="spellStart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Агролизинг</w:t>
      </w:r>
      <w:proofErr w:type="spell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».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А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. Субъект МСП в обычном порядке обращается </w:t>
      </w:r>
      <w:proofErr w:type="gram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за финансированием к партнеру с запросом на предоставление ресурсов по программе</w:t>
      </w:r>
      <w:proofErr w:type="gram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 Банка развития.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Б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 Партнеры самостоятельно оценивают и принимают риски по каждому отдельному проекту, осуществляют оценку финансового состояния субъекта МСП, определяют другие вопросы и принимают решение о возможности финансирования проекта.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В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. После принятия партнером положительного решения о заключении договора с субъектом МСП Банк развития в срок не </w:t>
      </w:r>
      <w:proofErr w:type="gram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более двух рабочих дней предоставляет</w:t>
      </w:r>
      <w:proofErr w:type="gram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 партнеру денежные средства на финансирование проекта.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Г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 Субъект МСП получает финансирование.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Д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 xml:space="preserve">. В сроки, установленные кредитным договором, субъект МСП </w:t>
      </w:r>
      <w:proofErr w:type="gramStart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предоставляет документы</w:t>
      </w:r>
      <w:proofErr w:type="gramEnd"/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, подтверждающие целевое использование средств.</w:t>
      </w: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Е</w:t>
      </w:r>
      <w:r w:rsidRPr="006B2EF0"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  <w:t>. В случае наличия проблемных вопросов на любом этапе реализации проекта субъект МСП обращается в Банк развития по телефону 8(017)309-65-70 (Управление поддержки малого и среднего предпринимательства).</w:t>
      </w:r>
    </w:p>
    <w:p w:rsid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</w:pPr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lastRenderedPageBreak/>
        <w:t>На финансирование инвестиционной и текущей деятельности для бизнеса, связанного с хлебными пекарнями, доступны следующие кредитные продукты Банка развития, с процентными ставками ниже средней по рынку</w:t>
      </w:r>
      <w:proofErr w:type="gramStart"/>
      <w:r w:rsidRPr="006B2EF0">
        <w:rPr>
          <w:rFonts w:ascii="Jost" w:eastAsia="Times New Roman" w:hAnsi="Jost" w:cs="Times New Roman"/>
          <w:b/>
          <w:bCs/>
          <w:color w:val="454545"/>
          <w:sz w:val="20"/>
          <w:vertAlign w:val="superscript"/>
          <w:lang w:eastAsia="ru-RU"/>
        </w:rPr>
        <w:t>1</w:t>
      </w:r>
      <w:proofErr w:type="gramEnd"/>
      <w:r w:rsidRPr="006B2EF0">
        <w:rPr>
          <w:rFonts w:ascii="Jost" w:eastAsia="Times New Roman" w:hAnsi="Jost" w:cs="Times New Roman"/>
          <w:b/>
          <w:bCs/>
          <w:color w:val="454545"/>
          <w:sz w:val="27"/>
          <w:lang w:eastAsia="ru-RU"/>
        </w:rPr>
        <w:t>:</w:t>
      </w:r>
    </w:p>
    <w:tbl>
      <w:tblPr>
        <w:tblStyle w:val="a7"/>
        <w:tblW w:w="9571" w:type="dxa"/>
        <w:tblLook w:val="04A0"/>
      </w:tblPr>
      <w:tblGrid>
        <w:gridCol w:w="2943"/>
        <w:gridCol w:w="2127"/>
        <w:gridCol w:w="4501"/>
      </w:tblGrid>
      <w:tr w:rsidR="006B2EF0" w:rsidTr="006B2EF0">
        <w:tc>
          <w:tcPr>
            <w:tcW w:w="2943" w:type="dxa"/>
          </w:tcPr>
          <w:p w:rsidR="006B2EF0" w:rsidRPr="006B2EF0" w:rsidRDefault="006B2EF0" w:rsidP="00B94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2127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 для субъекта МСП, %</w:t>
            </w:r>
          </w:p>
        </w:tc>
        <w:tc>
          <w:tcPr>
            <w:tcW w:w="4501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6B2EF0" w:rsidTr="006B2EF0">
        <w:tc>
          <w:tcPr>
            <w:tcW w:w="2943" w:type="dxa"/>
          </w:tcPr>
          <w:p w:rsidR="006B2EF0" w:rsidRPr="006B2EF0" w:rsidRDefault="006B2EF0" w:rsidP="00B94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организаций производственной сферы</w:t>
            </w:r>
          </w:p>
        </w:tc>
        <w:tc>
          <w:tcPr>
            <w:tcW w:w="2127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СР* +1 = </w:t>
            </w:r>
            <w:proofErr w:type="gram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10,5 %</w:t>
            </w:r>
          </w:p>
        </w:tc>
        <w:tc>
          <w:tcPr>
            <w:tcW w:w="4501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B2EF0" w:rsidTr="006B2EF0">
        <w:tc>
          <w:tcPr>
            <w:tcW w:w="2943" w:type="dxa"/>
          </w:tcPr>
          <w:p w:rsidR="006B2EF0" w:rsidRPr="006B2EF0" w:rsidRDefault="006B2EF0" w:rsidP="00B94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регионов</w:t>
            </w:r>
          </w:p>
        </w:tc>
        <w:tc>
          <w:tcPr>
            <w:tcW w:w="2127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1/2СР* + 2,5 = до 7,25 %</w:t>
            </w:r>
          </w:p>
        </w:tc>
        <w:tc>
          <w:tcPr>
            <w:tcW w:w="4501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 зарегистрирован и/или осуществляет деятельность на территории районов, отстающих по уровню социально-экономического развития (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Глусский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Кировский, Клецкий,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Краснопольский,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Мстиславский,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Наровлянский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Хойникский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Чаусский,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Шарковщинский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Шумилинский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B2EF0" w:rsidTr="006B2EF0">
        <w:tc>
          <w:tcPr>
            <w:tcW w:w="2943" w:type="dxa"/>
          </w:tcPr>
          <w:p w:rsidR="006B2EF0" w:rsidRPr="006B2EF0" w:rsidRDefault="006B2EF0" w:rsidP="00B94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Стабилизационный</w:t>
            </w:r>
          </w:p>
        </w:tc>
        <w:tc>
          <w:tcPr>
            <w:tcW w:w="2127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+ 2,5 = до</w:t>
            </w:r>
          </w:p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7,5 %</w:t>
            </w:r>
          </w:p>
        </w:tc>
        <w:tc>
          <w:tcPr>
            <w:tcW w:w="4501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импортозамещающих и </w:t>
            </w:r>
            <w:proofErr w:type="spell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экспортоориентированных</w:t>
            </w:r>
            <w:proofErr w:type="spellEnd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6B2EF0" w:rsidTr="006B2EF0">
        <w:tc>
          <w:tcPr>
            <w:tcW w:w="2943" w:type="dxa"/>
          </w:tcPr>
          <w:p w:rsidR="006B2EF0" w:rsidRPr="006B2EF0" w:rsidRDefault="006B2EF0" w:rsidP="00B947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proofErr w:type="gramStart"/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</w:p>
          <w:p w:rsidR="006B2EF0" w:rsidRPr="006B2EF0" w:rsidRDefault="006B2EF0" w:rsidP="00B947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127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1/2СР* + 2,5 = до 7,25 %</w:t>
            </w:r>
          </w:p>
        </w:tc>
        <w:tc>
          <w:tcPr>
            <w:tcW w:w="4501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 обеспечивает занятость уязвимых слоев населения</w:t>
            </w:r>
          </w:p>
        </w:tc>
      </w:tr>
      <w:tr w:rsidR="006B2EF0" w:rsidTr="006B2EF0">
        <w:tc>
          <w:tcPr>
            <w:tcW w:w="2943" w:type="dxa"/>
          </w:tcPr>
          <w:p w:rsidR="006B2EF0" w:rsidRPr="006B2EF0" w:rsidRDefault="006B2EF0" w:rsidP="00B94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экологических проектов</w:t>
            </w:r>
          </w:p>
        </w:tc>
        <w:tc>
          <w:tcPr>
            <w:tcW w:w="2127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1/2СР* +3,5 = до 8,25 %</w:t>
            </w:r>
          </w:p>
        </w:tc>
        <w:tc>
          <w:tcPr>
            <w:tcW w:w="4501" w:type="dxa"/>
          </w:tcPr>
          <w:p w:rsidR="006B2EF0" w:rsidRPr="006B2EF0" w:rsidRDefault="006B2EF0" w:rsidP="00B947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проектов, связанных с экологической направленностью по критериям Банка развития</w:t>
            </w:r>
          </w:p>
        </w:tc>
      </w:tr>
    </w:tbl>
    <w:p w:rsidR="006B2EF0" w:rsidRPr="006B2EF0" w:rsidRDefault="006B2EF0" w:rsidP="006B2EF0">
      <w:pPr>
        <w:spacing w:before="100" w:beforeAutospacing="1" w:after="100" w:afterAutospacing="1" w:line="240" w:lineRule="auto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</w:p>
    <w:p w:rsidR="006B2EF0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*Ставка рефинансирования Национального банка Республики Беларусь равная 9,5 %.</w:t>
      </w:r>
    </w:p>
    <w:p w:rsidR="0020561D" w:rsidRPr="006B2EF0" w:rsidRDefault="006B2EF0" w:rsidP="006B2EF0">
      <w:pPr>
        <w:spacing w:before="100" w:beforeAutospacing="1" w:after="100" w:afterAutospacing="1" w:line="240" w:lineRule="auto"/>
        <w:jc w:val="both"/>
        <w:rPr>
          <w:rFonts w:ascii="Jost" w:eastAsia="Times New Roman" w:hAnsi="Jost" w:cs="Times New Roman"/>
          <w:color w:val="454545"/>
          <w:sz w:val="27"/>
          <w:szCs w:val="27"/>
          <w:lang w:eastAsia="ru-RU"/>
        </w:rPr>
      </w:pPr>
      <w:r w:rsidRPr="006B2EF0">
        <w:rPr>
          <w:rFonts w:ascii="Jost" w:eastAsia="Times New Roman" w:hAnsi="Jost" w:cs="Times New Roman"/>
          <w:i/>
          <w:iCs/>
          <w:color w:val="454545"/>
          <w:sz w:val="20"/>
          <w:vertAlign w:val="superscript"/>
          <w:lang w:eastAsia="ru-RU"/>
        </w:rPr>
        <w:t>1</w:t>
      </w:r>
      <w:proofErr w:type="gramStart"/>
      <w:r w:rsidRPr="006B2EF0">
        <w:rPr>
          <w:rFonts w:ascii="Jost" w:eastAsia="Times New Roman" w:hAnsi="Jost" w:cs="Times New Roman"/>
          <w:i/>
          <w:iCs/>
          <w:color w:val="454545"/>
          <w:sz w:val="20"/>
          <w:vertAlign w:val="superscript"/>
          <w:lang w:eastAsia="ru-RU"/>
        </w:rPr>
        <w:t> </w:t>
      </w:r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>В</w:t>
      </w:r>
      <w:proofErr w:type="gramEnd"/>
      <w:r w:rsidRPr="006B2EF0">
        <w:rPr>
          <w:rFonts w:ascii="Jost" w:eastAsia="Times New Roman" w:hAnsi="Jost" w:cs="Times New Roman"/>
          <w:i/>
          <w:iCs/>
          <w:color w:val="454545"/>
          <w:sz w:val="27"/>
          <w:lang w:eastAsia="ru-RU"/>
        </w:rPr>
        <w:t xml:space="preserve"> соответствии со статистической информацией, публикуемой Национальным банком Республики Беларусь, средневзвешенная ставка по новым кредитам субъектам МСП в национальной валюте в марте 2025 года составила 12,18 %.</w:t>
      </w:r>
    </w:p>
    <w:sectPr w:rsidR="0020561D" w:rsidRPr="006B2EF0" w:rsidSect="0020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s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EF0"/>
    <w:rsid w:val="0020561D"/>
    <w:rsid w:val="006B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1D"/>
  </w:style>
  <w:style w:type="paragraph" w:styleId="1">
    <w:name w:val="heading 1"/>
    <w:basedOn w:val="a"/>
    <w:link w:val="10"/>
    <w:uiPriority w:val="9"/>
    <w:qFormat/>
    <w:rsid w:val="006B2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align-center">
    <w:name w:val="text-align-center"/>
    <w:basedOn w:val="a"/>
    <w:rsid w:val="006B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2EF0"/>
    <w:rPr>
      <w:b/>
      <w:bCs/>
    </w:rPr>
  </w:style>
  <w:style w:type="paragraph" w:customStyle="1" w:styleId="text-align-justify">
    <w:name w:val="text-align-justify"/>
    <w:basedOn w:val="a"/>
    <w:rsid w:val="006B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E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B2EF0"/>
    <w:rPr>
      <w:i/>
      <w:iCs/>
    </w:rPr>
  </w:style>
  <w:style w:type="table" w:styleId="a7">
    <w:name w:val="Table Grid"/>
    <w:basedOn w:val="a1"/>
    <w:uiPriority w:val="59"/>
    <w:rsid w:val="006B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8666">
                                  <w:marLeft w:val="85"/>
                                  <w:marRight w:val="85"/>
                                  <w:marTop w:val="85"/>
                                  <w:marBottom w:val="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655">
                                              <w:marLeft w:val="85"/>
                                              <w:marRight w:val="85"/>
                                              <w:marTop w:val="85"/>
                                              <w:marBottom w:val="8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4900">
                                  <w:marLeft w:val="85"/>
                                  <w:marRight w:val="85"/>
                                  <w:marTop w:val="85"/>
                                  <w:marBottom w:val="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15447">
                                              <w:marLeft w:val="85"/>
                                              <w:marRight w:val="85"/>
                                              <w:marTop w:val="85"/>
                                              <w:marBottom w:val="8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.by/upload/docs/file87fef62389347a9b.PDF" TargetMode="External"/><Relationship Id="rId13" Type="http://schemas.openxmlformats.org/officeDocument/2006/relationships/hyperlink" Target="http://www.nalog.gov.by/ru/aktualnaya-informatiya-po-predostavleniu-IP-v-nalog-organy-v-" TargetMode="External"/><Relationship Id="rId18" Type="http://schemas.openxmlformats.org/officeDocument/2006/relationships/hyperlink" Target="https://bsca.by/ru/registry-certif/a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rt.gov.by/activity/torgovlya-i-uslugi/torgovyy-reestr/formy-uvedomleniy/" TargetMode="External"/><Relationship Id="rId7" Type="http://schemas.openxmlformats.org/officeDocument/2006/relationships/hyperlink" Target="https://pravo.by/document/?guid=12551&amp;p0=C21800143&amp;p1=1" TargetMode="External"/><Relationship Id="rId12" Type="http://schemas.openxmlformats.org/officeDocument/2006/relationships/hyperlink" Target="http://www.minfin.gov.by/ru/accounting/" TargetMode="External"/><Relationship Id="rId17" Type="http://schemas.openxmlformats.org/officeDocument/2006/relationships/hyperlink" Target="http://www.eurasiancommission.org/ru/act/texnreg/deptexreg/tr/Documents/P_5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asiancommission.org/ru/act/texnreg/deptexreg/tr/Pages/Pischevka%C2%A0Markirovka.aspx" TargetMode="External"/><Relationship Id="rId20" Type="http://schemas.openxmlformats.org/officeDocument/2006/relationships/hyperlink" Target="https://etalonline.by/document/?regnum=HK9800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.gov.by/egrn/index.jsp?content=eJurRegForm" TargetMode="External"/><Relationship Id="rId11" Type="http://schemas.openxmlformats.org/officeDocument/2006/relationships/hyperlink" Target="http://www.nalog.gov.by/ru/nalogi-uplachivaemye-organizaciyami/" TargetMode="External"/><Relationship Id="rId5" Type="http://schemas.openxmlformats.org/officeDocument/2006/relationships/hyperlink" Target="http://egr.gov.by/egrn/index.jsp?content=RegAuthority" TargetMode="External"/><Relationship Id="rId15" Type="http://schemas.openxmlformats.org/officeDocument/2006/relationships/hyperlink" Target="http://www.eurasiancommission.org/ru/act/texnreg/deptexreg/tr/Pages/PischevayaProd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cheph.by/administrativnye-protsedury/provedenie-rabot-po-gosudarstvennoy-sanitarno-gigienicheskoy-ekspertize-s-vydachey-sanitarno-gigieni/" TargetMode="External"/><Relationship Id="rId19" Type="http://schemas.openxmlformats.org/officeDocument/2006/relationships/hyperlink" Target="https://etalonline.by/document/?regnum=HK9800218" TargetMode="External"/><Relationship Id="rId4" Type="http://schemas.openxmlformats.org/officeDocument/2006/relationships/hyperlink" Target="https://etalonline.by/document/?regnum=HK9800218" TargetMode="External"/><Relationship Id="rId9" Type="http://schemas.openxmlformats.org/officeDocument/2006/relationships/hyperlink" Target="https://rcheph.by/administrativnye-protsedury/provedenie-rabot-po-gosudarstvennoy-" TargetMode="External"/><Relationship Id="rId14" Type="http://schemas.openxmlformats.org/officeDocument/2006/relationships/hyperlink" Target="http://www.nalog.gov.by/ru/aktualnaya-informatiya-po-predostavleniu-IP-v-nalog-organy-v-el-vid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1772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Семуткина Виктория Леонидовна</dc:creator>
  <cp:keywords/>
  <dc:description/>
  <cp:lastModifiedBy>Семуткина Виктория Леонидовна</cp:lastModifiedBy>
  <cp:revision>2</cp:revision>
  <dcterms:created xsi:type="dcterms:W3CDTF">2025-06-16T13:58:00Z</dcterms:created>
  <dcterms:modified xsi:type="dcterms:W3CDTF">2025-06-16T14:06:00Z</dcterms:modified>
</cp:coreProperties>
</file>