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ED" w:rsidRPr="003340F5" w:rsidRDefault="003340F5" w:rsidP="003340F5">
      <w:pPr>
        <w:shd w:val="clear" w:color="auto" w:fill="FFFFFF"/>
        <w:spacing w:after="0" w:line="240" w:lineRule="auto"/>
        <w:ind w:firstLine="709"/>
        <w:jc w:val="both"/>
        <w:rPr>
          <w:rFonts w:eastAsia="Times New Roman" w:cs="Times New Roman"/>
          <w:b/>
          <w:color w:val="000000"/>
          <w:szCs w:val="30"/>
          <w:lang w:eastAsia="ru-RU"/>
        </w:rPr>
      </w:pPr>
      <w:bookmarkStart w:id="0" w:name="_GoBack"/>
      <w:bookmarkEnd w:id="0"/>
      <w:r>
        <w:rPr>
          <w:rFonts w:eastAsia="Times New Roman" w:cs="Times New Roman"/>
          <w:b/>
          <w:color w:val="000000"/>
          <w:szCs w:val="30"/>
          <w:lang w:eastAsia="ru-RU"/>
        </w:rPr>
        <w:t xml:space="preserve">2. </w:t>
      </w:r>
      <w:r w:rsidRPr="003340F5">
        <w:rPr>
          <w:rFonts w:eastAsia="Times New Roman" w:cs="Times New Roman"/>
          <w:b/>
          <w:color w:val="00000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 xml:space="preserve">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w:t>
      </w:r>
      <w:r w:rsidRPr="00C16041">
        <w:rPr>
          <w:sz w:val="30"/>
          <w:szCs w:val="30"/>
        </w:rPr>
        <w:lastRenderedPageBreak/>
        <w:t>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w:t>
      </w:r>
      <w:r w:rsidRPr="00C16041">
        <w:rPr>
          <w:rStyle w:val="af5"/>
          <w:b w:val="0"/>
          <w:color w:val="000000"/>
          <w:spacing w:val="4"/>
          <w:sz w:val="30"/>
          <w:szCs w:val="30"/>
        </w:rPr>
        <w:lastRenderedPageBreak/>
        <w:t xml:space="preserve">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3340F5" w:rsidRDefault="001F0EED" w:rsidP="001F0EED">
      <w:pPr>
        <w:spacing w:after="0" w:line="240" w:lineRule="auto"/>
        <w:ind w:firstLine="709"/>
        <w:jc w:val="both"/>
        <w:rPr>
          <w:rFonts w:eastAsia="Times New Roman" w:cs="Times New Roman"/>
          <w:sz w:val="30"/>
          <w:szCs w:val="30"/>
          <w:lang w:eastAsia="ru-RU"/>
        </w:rPr>
      </w:pPr>
      <w:r w:rsidRPr="00C16041">
        <w:rPr>
          <w:rStyle w:val="af5"/>
          <w:rFonts w:cs="Times New Roman"/>
          <w:b w:val="0"/>
          <w:color w:val="000000"/>
          <w:spacing w:val="4"/>
          <w:sz w:val="30"/>
          <w:szCs w:val="30"/>
          <w:u w:val="single"/>
        </w:rPr>
        <w:t xml:space="preserve"> </w:t>
      </w:r>
      <w:r w:rsidRPr="003340F5">
        <w:rPr>
          <w:rFonts w:cs="Times New Roman"/>
          <w:sz w:val="30"/>
          <w:szCs w:val="30"/>
        </w:rPr>
        <w:t xml:space="preserve">Всю необходимую консультативную помощь можно получить в </w:t>
      </w:r>
      <w:proofErr w:type="spellStart"/>
      <w:r w:rsidRPr="003340F5">
        <w:rPr>
          <w:rFonts w:cs="Times New Roman"/>
          <w:sz w:val="30"/>
          <w:szCs w:val="30"/>
        </w:rPr>
        <w:t>Белгосстрахе</w:t>
      </w:r>
      <w:proofErr w:type="spellEnd"/>
      <w:r w:rsidRPr="003340F5">
        <w:rPr>
          <w:rFonts w:cs="Times New Roman"/>
          <w:sz w:val="30"/>
          <w:szCs w:val="30"/>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sectPr w:rsidR="004821C3" w:rsidRPr="00C16041" w:rsidSect="004B5AC2">
      <w:headerReference w:type="default" r:id="rId8"/>
      <w:pgSz w:w="11906" w:h="16838"/>
      <w:pgMar w:top="1134" w:right="850" w:bottom="1134" w:left="1701" w:header="708" w:footer="708" w:gutter="0"/>
      <w:pgNumType w:start="1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E6" w:rsidRDefault="004344E6" w:rsidP="008D6350">
      <w:pPr>
        <w:spacing w:after="0" w:line="240" w:lineRule="auto"/>
      </w:pPr>
      <w:r>
        <w:separator/>
      </w:r>
    </w:p>
  </w:endnote>
  <w:endnote w:type="continuationSeparator" w:id="0">
    <w:p w:rsidR="004344E6" w:rsidRDefault="004344E6"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E6" w:rsidRDefault="004344E6" w:rsidP="008D6350">
      <w:pPr>
        <w:spacing w:after="0" w:line="240" w:lineRule="auto"/>
      </w:pPr>
      <w:r>
        <w:separator/>
      </w:r>
    </w:p>
  </w:footnote>
  <w:footnote w:type="continuationSeparator" w:id="0">
    <w:p w:rsidR="004344E6" w:rsidRDefault="004344E6"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4B5AC2">
          <w:rPr>
            <w:noProof/>
          </w:rPr>
          <w:t>12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0742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40F5"/>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344E6"/>
    <w:rsid w:val="00442448"/>
    <w:rsid w:val="00447945"/>
    <w:rsid w:val="004821C3"/>
    <w:rsid w:val="00485CF4"/>
    <w:rsid w:val="00492877"/>
    <w:rsid w:val="004938A1"/>
    <w:rsid w:val="0049767E"/>
    <w:rsid w:val="004B1449"/>
    <w:rsid w:val="004B5AC2"/>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16F0"/>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2024-02-13T10:51:00Z</cp:lastPrinted>
  <dcterms:created xsi:type="dcterms:W3CDTF">2024-03-19T06:45:00Z</dcterms:created>
  <dcterms:modified xsi:type="dcterms:W3CDTF">2024-03-19T06:57:00Z</dcterms:modified>
</cp:coreProperties>
</file>