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3B" w:rsidRPr="00ED0EE6" w:rsidRDefault="00922E3B" w:rsidP="00922E3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ED0EE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ГЛАВА 6</w:t>
      </w:r>
    </w:p>
    <w:p w:rsidR="00922E3B" w:rsidRPr="00ED0EE6" w:rsidRDefault="00922E3B" w:rsidP="00922E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ED0EE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ОХРАНА ОКРУЖАЮЩЕЙ СРЕДЫ И ПРИРОДОПОЛЬЗОВАНИЕ</w:t>
      </w:r>
    </w:p>
    <w:p w:rsidR="00922E3B" w:rsidRDefault="00922E3B" w:rsidP="00922E3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922E3B" w:rsidRDefault="00922E3B" w:rsidP="00922E3B">
      <w:pPr>
        <w:pStyle w:val="titlep"/>
        <w:spacing w:before="0" w:after="0" w:line="228" w:lineRule="auto"/>
        <w:ind w:left="-426" w:right="-284"/>
        <w:jc w:val="both"/>
        <w:rPr>
          <w:color w:val="2E74B5"/>
          <w:sz w:val="28"/>
        </w:rPr>
      </w:pPr>
      <w:r w:rsidRPr="00F0268F">
        <w:rPr>
          <w:rStyle w:val="a4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>
        <w:rPr>
          <w:color w:val="2E74B5"/>
          <w:sz w:val="28"/>
        </w:rPr>
        <w:tab/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922E3B" w:rsidRPr="00984A59" w:rsidTr="00262B2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22E3B" w:rsidRPr="007418FC" w:rsidRDefault="00922E3B" w:rsidP="00262B2A">
            <w:pPr>
              <w:pStyle w:val="titleu"/>
              <w:spacing w:before="0" w:after="0"/>
              <w:jc w:val="both"/>
              <w:rPr>
                <w:sz w:val="28"/>
                <w:szCs w:val="28"/>
              </w:rPr>
            </w:pPr>
            <w:r w:rsidRPr="007418FC">
              <w:rPr>
                <w:sz w:val="28"/>
                <w:szCs w:val="28"/>
              </w:rPr>
              <w:t>РЕГЛАМЕНТ</w:t>
            </w:r>
            <w:r w:rsidRPr="007418FC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5" w:anchor="a191" w:tooltip="+" w:history="1">
              <w:r w:rsidRPr="007418FC">
                <w:rPr>
                  <w:rStyle w:val="a3"/>
                  <w:sz w:val="28"/>
                  <w:szCs w:val="28"/>
                </w:rPr>
                <w:t>подпункту 6.10.</w:t>
              </w:r>
              <w:r>
                <w:rPr>
                  <w:rStyle w:val="a3"/>
                  <w:sz w:val="28"/>
                  <w:szCs w:val="28"/>
                </w:rPr>
                <w:t>2</w:t>
              </w:r>
            </w:hyperlink>
            <w:r w:rsidRPr="007418FC">
              <w:rPr>
                <w:sz w:val="28"/>
                <w:szCs w:val="28"/>
              </w:rPr>
              <w:t xml:space="preserve"> «Получение решения о предоставлении горного отвода с выдачей в установленном порядке акта, удостоверяющего горный отвод»</w:t>
            </w:r>
          </w:p>
          <w:p w:rsidR="00922E3B" w:rsidRPr="004B6BB3" w:rsidRDefault="00922E3B" w:rsidP="00262B2A">
            <w:pPr>
              <w:pStyle w:val="titleu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r w:rsidRPr="00E705D8">
        <w:rPr>
          <w:sz w:val="28"/>
          <w:szCs w:val="28"/>
        </w:rPr>
        <w:t xml:space="preserve">Регламент утвержден, Постановление Министерства природных </w:t>
      </w:r>
      <w:r w:rsidRPr="00E705D8">
        <w:rPr>
          <w:sz w:val="28"/>
          <w:szCs w:val="28"/>
        </w:rPr>
        <w:br/>
        <w:t xml:space="preserve">ресурсов </w:t>
      </w:r>
      <w:r w:rsidRPr="007418FC">
        <w:rPr>
          <w:sz w:val="28"/>
          <w:szCs w:val="28"/>
        </w:rPr>
        <w:t>и охраны окружающей среды Республики Беларусь</w:t>
      </w:r>
      <w:r w:rsidRPr="007418FC">
        <w:rPr>
          <w:sz w:val="28"/>
          <w:szCs w:val="28"/>
        </w:rPr>
        <w:br/>
        <w:t>27.01.2022 № 13</w:t>
      </w:r>
      <w:r w:rsidRPr="007418FC">
        <w:rPr>
          <w:color w:val="000080"/>
          <w:sz w:val="28"/>
          <w:szCs w:val="28"/>
        </w:rPr>
        <w:t xml:space="preserve"> «Об утверждении регламентов административных процедур в области  рационального использования и охраны недр</w:t>
      </w:r>
      <w:r>
        <w:rPr>
          <w:color w:val="000080"/>
          <w:sz w:val="28"/>
          <w:szCs w:val="28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19"/>
        <w:gridCol w:w="3265"/>
      </w:tblGrid>
      <w:tr w:rsidR="00922E3B" w:rsidTr="00262B2A">
        <w:tc>
          <w:tcPr>
            <w:tcW w:w="3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Default="00922E3B" w:rsidP="00262B2A">
            <w:pPr>
              <w:pStyle w:val="cap1"/>
            </w:pPr>
            <w: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Default="00922E3B" w:rsidP="00262B2A">
            <w:pPr>
              <w:pStyle w:val="cap1"/>
            </w:pPr>
          </w:p>
        </w:tc>
      </w:tr>
    </w:tbl>
    <w:p w:rsidR="00922E3B" w:rsidRPr="007418FC" w:rsidRDefault="00922E3B" w:rsidP="00922E3B">
      <w:pPr>
        <w:pStyle w:val="point"/>
        <w:spacing w:before="0" w:after="0"/>
        <w:rPr>
          <w:color w:val="FF0000"/>
          <w:sz w:val="28"/>
          <w:szCs w:val="28"/>
        </w:rPr>
      </w:pPr>
      <w:bookmarkStart w:id="0" w:name="a7"/>
      <w:bookmarkEnd w:id="0"/>
      <w:r w:rsidRPr="007418FC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922E3B" w:rsidRPr="007418FC" w:rsidRDefault="00922E3B" w:rsidP="00922E3B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proofErr w:type="gramStart"/>
      <w:r w:rsidRPr="007418FC">
        <w:rPr>
          <w:sz w:val="28"/>
          <w:szCs w:val="28"/>
        </w:rPr>
        <w:t>Горные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органов, за исключением случаев, когда в соответствии с </w:t>
      </w:r>
      <w:hyperlink r:id="rId6" w:anchor="a138" w:tooltip="+" w:history="1">
        <w:r w:rsidRPr="007418FC">
          <w:rPr>
            <w:rStyle w:val="a3"/>
            <w:sz w:val="28"/>
            <w:szCs w:val="28"/>
          </w:rPr>
          <w:t>Кодексом</w:t>
        </w:r>
      </w:hyperlink>
      <w:r w:rsidRPr="007418FC">
        <w:rPr>
          <w:sz w:val="28"/>
          <w:szCs w:val="28"/>
        </w:rPr>
        <w:t xml:space="preserve"> Республики Беларусь о недрах решения о предоставлении горных отводов принимает Президент Республики Беларусь.</w:t>
      </w:r>
      <w:proofErr w:type="gramEnd"/>
    </w:p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Районным исполнительным и распорядительным органом осуществляется предоставление горных отводов в границах района.</w:t>
      </w:r>
    </w:p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горных отводов в границах этих городов.</w:t>
      </w:r>
    </w:p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proofErr w:type="gramStart"/>
      <w:r w:rsidRPr="007418FC">
        <w:rPr>
          <w:sz w:val="28"/>
          <w:szCs w:val="28"/>
        </w:rPr>
        <w:t>Областным исполнительным и распорядительным органом осуществляется предоставление горного отвода в случае, если горный отвод располагается на территории двух и более районов в границах области, а также в случае, если предоставление горного отвода, расположенного в границах области, связано с необходимостью изъятия земельного участка из 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фонда.</w:t>
      </w:r>
      <w:proofErr w:type="gramEnd"/>
    </w:p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В случае</w:t>
      </w:r>
      <w:proofErr w:type="gramStart"/>
      <w:r w:rsidRPr="007418FC">
        <w:rPr>
          <w:sz w:val="28"/>
          <w:szCs w:val="28"/>
        </w:rPr>
        <w:t>,</w:t>
      </w:r>
      <w:proofErr w:type="gramEnd"/>
      <w:r w:rsidRPr="007418FC">
        <w:rPr>
          <w:sz w:val="28"/>
          <w:szCs w:val="28"/>
        </w:rPr>
        <w:t xml:space="preserve"> если горный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горного отвода, по согласованию с другими областными исполнительными и распорядительными органами, на территории которых располагается горный отвод;</w:t>
      </w:r>
    </w:p>
    <w:p w:rsidR="00922E3B" w:rsidRPr="007418FC" w:rsidRDefault="00922E3B" w:rsidP="00922E3B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22E3B" w:rsidRPr="007418FC" w:rsidRDefault="00007F1E" w:rsidP="00922E3B">
      <w:pPr>
        <w:pStyle w:val="newncpi"/>
        <w:spacing w:before="0" w:after="0"/>
        <w:rPr>
          <w:sz w:val="28"/>
          <w:szCs w:val="28"/>
        </w:rPr>
      </w:pPr>
      <w:hyperlink r:id="rId7" w:anchor="a138" w:tooltip="+" w:history="1">
        <w:r w:rsidR="00922E3B" w:rsidRPr="007418FC">
          <w:rPr>
            <w:rStyle w:val="a3"/>
            <w:sz w:val="28"/>
            <w:szCs w:val="28"/>
          </w:rPr>
          <w:t>Кодекс</w:t>
        </w:r>
      </w:hyperlink>
      <w:r w:rsidR="00922E3B" w:rsidRPr="007418FC">
        <w:rPr>
          <w:sz w:val="28"/>
          <w:szCs w:val="28"/>
        </w:rPr>
        <w:t xml:space="preserve"> Республики Беларусь о недрах;</w:t>
      </w:r>
    </w:p>
    <w:p w:rsidR="00922E3B" w:rsidRPr="007418FC" w:rsidRDefault="00007F1E" w:rsidP="00922E3B">
      <w:pPr>
        <w:pStyle w:val="newncpi"/>
        <w:spacing w:before="0" w:after="0"/>
        <w:rPr>
          <w:sz w:val="28"/>
          <w:szCs w:val="28"/>
        </w:rPr>
      </w:pPr>
      <w:hyperlink r:id="rId8" w:anchor="a68" w:tooltip="+" w:history="1">
        <w:r w:rsidR="00922E3B" w:rsidRPr="007418FC">
          <w:rPr>
            <w:rStyle w:val="a3"/>
            <w:sz w:val="28"/>
            <w:szCs w:val="28"/>
          </w:rPr>
          <w:t>Закон</w:t>
        </w:r>
      </w:hyperlink>
      <w:r w:rsidR="00922E3B" w:rsidRPr="007418FC">
        <w:rPr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922E3B" w:rsidRPr="007418FC" w:rsidRDefault="00007F1E" w:rsidP="00922E3B">
      <w:pPr>
        <w:pStyle w:val="newncpi"/>
        <w:spacing w:before="0" w:after="0"/>
        <w:rPr>
          <w:sz w:val="28"/>
          <w:szCs w:val="28"/>
        </w:rPr>
      </w:pPr>
      <w:hyperlink r:id="rId9" w:anchor="a10" w:tooltip="+" w:history="1">
        <w:r w:rsidR="00922E3B" w:rsidRPr="007418FC">
          <w:rPr>
            <w:rStyle w:val="a3"/>
            <w:sz w:val="28"/>
            <w:szCs w:val="28"/>
          </w:rPr>
          <w:t>Указ</w:t>
        </w:r>
      </w:hyperlink>
      <w:r w:rsidR="00922E3B" w:rsidRPr="007418FC">
        <w:rPr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922E3B" w:rsidRPr="007418FC" w:rsidRDefault="00007F1E" w:rsidP="00922E3B">
      <w:pPr>
        <w:pStyle w:val="newncpi"/>
        <w:spacing w:before="0" w:after="0"/>
        <w:rPr>
          <w:sz w:val="28"/>
          <w:szCs w:val="28"/>
        </w:rPr>
      </w:pPr>
      <w:hyperlink r:id="rId10" w:anchor="a1" w:tooltip="+" w:history="1">
        <w:r w:rsidR="00922E3B" w:rsidRPr="007418FC">
          <w:rPr>
            <w:rStyle w:val="a3"/>
            <w:sz w:val="28"/>
            <w:szCs w:val="28"/>
          </w:rPr>
          <w:t>Указ</w:t>
        </w:r>
      </w:hyperlink>
      <w:r w:rsidR="00922E3B" w:rsidRPr="007418FC">
        <w:rPr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922E3B" w:rsidRPr="007418FC" w:rsidRDefault="00007F1E" w:rsidP="00922E3B">
      <w:pPr>
        <w:pStyle w:val="newncpi"/>
        <w:spacing w:before="0" w:after="0"/>
        <w:rPr>
          <w:sz w:val="28"/>
          <w:szCs w:val="28"/>
        </w:rPr>
      </w:pPr>
      <w:hyperlink r:id="rId11" w:anchor="a5" w:tooltip="+" w:history="1">
        <w:r w:rsidR="00922E3B" w:rsidRPr="007418FC">
          <w:rPr>
            <w:rStyle w:val="a3"/>
            <w:sz w:val="28"/>
            <w:szCs w:val="28"/>
          </w:rPr>
          <w:t>постановление</w:t>
        </w:r>
      </w:hyperlink>
      <w:r w:rsidR="00922E3B" w:rsidRPr="007418FC">
        <w:rPr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22E3B" w:rsidRPr="007418FC" w:rsidRDefault="00007F1E" w:rsidP="00922E3B">
      <w:pPr>
        <w:pStyle w:val="newncpi"/>
        <w:spacing w:before="0" w:after="0"/>
        <w:rPr>
          <w:sz w:val="28"/>
          <w:szCs w:val="28"/>
        </w:rPr>
      </w:pPr>
      <w:hyperlink r:id="rId12" w:anchor="a11" w:tooltip="+" w:history="1">
        <w:r w:rsidR="00922E3B" w:rsidRPr="007418FC">
          <w:rPr>
            <w:rStyle w:val="a3"/>
            <w:sz w:val="28"/>
            <w:szCs w:val="28"/>
          </w:rPr>
          <w:t>постановление</w:t>
        </w:r>
      </w:hyperlink>
      <w:r w:rsidR="00922E3B" w:rsidRPr="007418FC">
        <w:rPr>
          <w:sz w:val="28"/>
          <w:szCs w:val="28"/>
        </w:rPr>
        <w:t xml:space="preserve">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недрами»;</w:t>
      </w:r>
    </w:p>
    <w:p w:rsidR="00922E3B" w:rsidRPr="007418FC" w:rsidRDefault="00007F1E" w:rsidP="00922E3B">
      <w:pPr>
        <w:pStyle w:val="newncpi"/>
        <w:spacing w:before="0" w:after="0"/>
        <w:rPr>
          <w:sz w:val="28"/>
          <w:szCs w:val="28"/>
        </w:rPr>
      </w:pPr>
      <w:hyperlink r:id="rId13" w:anchor="a2" w:tooltip="+" w:history="1">
        <w:r w:rsidR="00922E3B" w:rsidRPr="007418FC">
          <w:rPr>
            <w:rStyle w:val="a3"/>
            <w:sz w:val="28"/>
            <w:szCs w:val="28"/>
          </w:rPr>
          <w:t>Инструкция</w:t>
        </w:r>
      </w:hyperlink>
      <w:r w:rsidR="00922E3B" w:rsidRPr="007418FC">
        <w:rPr>
          <w:sz w:val="28"/>
          <w:szCs w:val="28"/>
        </w:rPr>
        <w:t xml:space="preserve"> о требованиях к содержанию и форме проекта обоснования границ горного отвода, утвержденная постановлением Министерства природных ресурсов и охраны окружающей среды Республики Беларусь от 18 января 2017 г. № 6;</w:t>
      </w:r>
    </w:p>
    <w:p w:rsidR="00922E3B" w:rsidRPr="007418FC" w:rsidRDefault="00922E3B" w:rsidP="00922E3B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1.3. иные имеющиеся особенности осуществления административной процедуры:</w:t>
      </w:r>
    </w:p>
    <w:p w:rsidR="00922E3B" w:rsidRPr="007418FC" w:rsidRDefault="00922E3B" w:rsidP="00922E3B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 xml:space="preserve">1.3.1. административная процедура осуществляется в порядке, установленном </w:t>
      </w:r>
      <w:hyperlink r:id="rId14" w:anchor="a58" w:tooltip="+" w:history="1">
        <w:r w:rsidRPr="007418FC">
          <w:rPr>
            <w:rStyle w:val="a3"/>
            <w:sz w:val="28"/>
            <w:szCs w:val="28"/>
          </w:rPr>
          <w:t>статьей 33</w:t>
        </w:r>
      </w:hyperlink>
      <w:r w:rsidRPr="007418FC">
        <w:rPr>
          <w:sz w:val="28"/>
          <w:szCs w:val="28"/>
        </w:rPr>
        <w:t xml:space="preserve"> Кодекса Республики Беларусь о недрах;</w:t>
      </w:r>
    </w:p>
    <w:p w:rsidR="00922E3B" w:rsidRPr="007418FC" w:rsidRDefault="00922E3B" w:rsidP="00922E3B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1.3.2. дополнительные основания для отказа в осуществлении административной процедуры по сравнению с </w:t>
      </w:r>
      <w:hyperlink r:id="rId15" w:anchor="a68" w:tooltip="+" w:history="1">
        <w:r w:rsidRPr="007418FC">
          <w:rPr>
            <w:rStyle w:val="a3"/>
            <w:sz w:val="28"/>
            <w:szCs w:val="28"/>
          </w:rPr>
          <w:t>Законом</w:t>
        </w:r>
      </w:hyperlink>
      <w:r w:rsidRPr="007418FC">
        <w:rPr>
          <w:sz w:val="28"/>
          <w:szCs w:val="28"/>
        </w:rPr>
        <w:t xml:space="preserve"> Республики Беларусь «Об основах административных процедур» определены </w:t>
      </w:r>
      <w:hyperlink r:id="rId16" w:anchor="a425" w:tooltip="+" w:history="1">
        <w:r w:rsidRPr="007418FC">
          <w:rPr>
            <w:rStyle w:val="a3"/>
            <w:sz w:val="28"/>
            <w:szCs w:val="28"/>
          </w:rPr>
          <w:t>подпунктом 2</w:t>
        </w:r>
        <w:r w:rsidRPr="007418FC">
          <w:rPr>
            <w:rStyle w:val="a3"/>
            <w:sz w:val="28"/>
            <w:szCs w:val="28"/>
            <w:vertAlign w:val="superscript"/>
          </w:rPr>
          <w:t>1</w:t>
        </w:r>
        <w:r w:rsidRPr="007418FC">
          <w:rPr>
            <w:rStyle w:val="a3"/>
            <w:sz w:val="28"/>
            <w:szCs w:val="28"/>
          </w:rPr>
          <w:t>.2</w:t>
        </w:r>
      </w:hyperlink>
      <w:r w:rsidRPr="007418FC">
        <w:rPr>
          <w:sz w:val="28"/>
          <w:szCs w:val="28"/>
        </w:rPr>
        <w:t xml:space="preserve"> пункта 2</w:t>
      </w:r>
      <w:r w:rsidRPr="007418FC">
        <w:rPr>
          <w:sz w:val="28"/>
          <w:szCs w:val="28"/>
          <w:vertAlign w:val="superscript"/>
        </w:rPr>
        <w:t>1</w:t>
      </w:r>
      <w:r w:rsidRPr="007418FC">
        <w:rPr>
          <w:sz w:val="28"/>
          <w:szCs w:val="28"/>
        </w:rPr>
        <w:t xml:space="preserve"> статьи 33 Кодекса Республики Беларусь о недрах;</w:t>
      </w:r>
    </w:p>
    <w:p w:rsidR="00922E3B" w:rsidRPr="007418FC" w:rsidRDefault="00922E3B" w:rsidP="00922E3B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 xml:space="preserve"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</w:t>
      </w:r>
      <w:hyperlink r:id="rId17" w:anchor="a426" w:tooltip="+" w:history="1">
        <w:r w:rsidRPr="007418FC">
          <w:rPr>
            <w:rStyle w:val="a3"/>
            <w:sz w:val="28"/>
            <w:szCs w:val="28"/>
          </w:rPr>
          <w:t>пунктом 4</w:t>
        </w:r>
      </w:hyperlink>
      <w:r w:rsidRPr="007418FC">
        <w:rPr>
          <w:sz w:val="28"/>
          <w:szCs w:val="28"/>
        </w:rPr>
        <w:t xml:space="preserve"> статьи 33 Кодекса Республики Беларусь о недрах.</w:t>
      </w:r>
    </w:p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:rsidR="00922E3B" w:rsidRPr="007418FC" w:rsidRDefault="00922E3B" w:rsidP="00922E3B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 xml:space="preserve">1.3.4. Министерство природных ресурсов и охраны окружающей среды в течение трех рабочих дней со дня получения </w:t>
      </w:r>
      <w:hyperlink r:id="rId18" w:anchor="a13" w:tooltip="+" w:history="1">
        <w:r w:rsidRPr="007418FC">
          <w:rPr>
            <w:rStyle w:val="a3"/>
            <w:sz w:val="28"/>
            <w:szCs w:val="28"/>
          </w:rPr>
          <w:t>акта</w:t>
        </w:r>
      </w:hyperlink>
      <w:r w:rsidRPr="007418FC">
        <w:rPr>
          <w:sz w:val="28"/>
          <w:szCs w:val="28"/>
        </w:rPr>
        <w:t>, удостоверяющего горный отвод, осуществляет государственную регистрацию горного отвода в государственном реестре горных отводов. При этом на всех экземплярах акта, удостоверяющего горный отвод, ставится штамп о государственной регистрации этого отвода в государственном реестре горных отводов с указанием номера экземпляра. После этого первый экземпляр акта, удостоверяющего горный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:rsidR="00922E3B" w:rsidRPr="007418FC" w:rsidRDefault="00922E3B" w:rsidP="00922E3B">
      <w:pPr>
        <w:pStyle w:val="point"/>
        <w:spacing w:before="0" w:after="0"/>
        <w:rPr>
          <w:color w:val="FF0000"/>
          <w:sz w:val="28"/>
          <w:szCs w:val="28"/>
        </w:rPr>
      </w:pPr>
      <w:r w:rsidRPr="007418FC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66"/>
        <w:gridCol w:w="3399"/>
        <w:gridCol w:w="3619"/>
      </w:tblGrid>
      <w:tr w:rsidR="00922E3B" w:rsidTr="00262B2A">
        <w:trPr>
          <w:trHeight w:val="240"/>
        </w:trPr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2E3B" w:rsidRPr="007418FC" w:rsidRDefault="00922E3B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2E3B" w:rsidRPr="007418FC" w:rsidRDefault="00922E3B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2E3B" w:rsidRPr="007418FC" w:rsidRDefault="00922E3B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922E3B" w:rsidTr="00262B2A">
        <w:trPr>
          <w:trHeight w:val="240"/>
        </w:trPr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заявление о предоставлении горного отвода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заявление должно соответствовать требованиям: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</w:r>
            <w:hyperlink r:id="rId19" w:anchor="a191" w:tooltip="+" w:history="1">
              <w:r w:rsidRPr="007418FC">
                <w:rPr>
                  <w:rStyle w:val="a3"/>
                  <w:sz w:val="24"/>
                  <w:szCs w:val="24"/>
                </w:rPr>
                <w:t>пункта 5</w:t>
              </w:r>
            </w:hyperlink>
            <w:r w:rsidRPr="007418FC">
              <w:rPr>
                <w:sz w:val="24"/>
                <w:szCs w:val="24"/>
              </w:rPr>
              <w:t xml:space="preserve"> статьи 14 Закона </w:t>
            </w:r>
            <w:r w:rsidRPr="007418FC">
              <w:rPr>
                <w:sz w:val="24"/>
                <w:szCs w:val="24"/>
              </w:rPr>
              <w:lastRenderedPageBreak/>
              <w:t>Республики Беларусь «Об основах административных процедур»;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</w:r>
            <w:hyperlink r:id="rId20" w:anchor="a156" w:tooltip="+" w:history="1">
              <w:r w:rsidRPr="007418FC">
                <w:rPr>
                  <w:rStyle w:val="a3"/>
                  <w:sz w:val="24"/>
                  <w:szCs w:val="24"/>
                </w:rPr>
                <w:t>абзаца первого</w:t>
              </w:r>
            </w:hyperlink>
            <w:r w:rsidRPr="007418FC">
              <w:rPr>
                <w:sz w:val="24"/>
                <w:szCs w:val="24"/>
              </w:rPr>
              <w:t xml:space="preserve"> пункта 2 статьи 33 Кодекса Республики Беларусь о недрах </w:t>
            </w:r>
          </w:p>
        </w:tc>
        <w:tc>
          <w:tcPr>
            <w:tcW w:w="16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proofErr w:type="gramStart"/>
            <w:r w:rsidRPr="007418FC">
              <w:rPr>
                <w:sz w:val="24"/>
                <w:szCs w:val="24"/>
              </w:rPr>
              <w:lastRenderedPageBreak/>
              <w:t>в местные исполнительные и распорядительные органы – в письменной форме: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lastRenderedPageBreak/>
              <w:t>в ходе приема заинтересованного лица; нарочным (курьером);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  <w:t>по почте;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  <w:t>в ходе приема заинтересованного лица; нарочным (курьером);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  <w:t>по почте;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  <w:proofErr w:type="gramEnd"/>
          </w:p>
        </w:tc>
      </w:tr>
      <w:tr w:rsidR="00922E3B" w:rsidTr="00262B2A">
        <w:trPr>
          <w:trHeight w:val="240"/>
        </w:trPr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lastRenderedPageBreak/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22E3B" w:rsidRDefault="00922E3B" w:rsidP="00262B2A">
            <w:pPr>
              <w:rPr>
                <w:sz w:val="20"/>
                <w:szCs w:val="20"/>
              </w:rPr>
            </w:pPr>
          </w:p>
        </w:tc>
      </w:tr>
      <w:tr w:rsidR="00922E3B" w:rsidTr="00262B2A">
        <w:trPr>
          <w:trHeight w:val="240"/>
        </w:trPr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spacing w:after="24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 xml:space="preserve">должен соответствовать требованиям </w:t>
            </w:r>
            <w:hyperlink r:id="rId21" w:anchor="a361" w:tooltip="+" w:history="1">
              <w:r w:rsidRPr="007418FC">
                <w:rPr>
                  <w:rStyle w:val="a3"/>
                  <w:sz w:val="24"/>
                  <w:szCs w:val="24"/>
                </w:rPr>
                <w:t>подпункта 2.2</w:t>
              </w:r>
            </w:hyperlink>
            <w:r w:rsidRPr="007418FC">
              <w:rPr>
                <w:sz w:val="24"/>
                <w:szCs w:val="24"/>
              </w:rPr>
              <w:t xml:space="preserve"> пункта 2 статьи 33 Кодекса Республики Беларусь о недрах</w:t>
            </w:r>
          </w:p>
        </w:tc>
        <w:tc>
          <w:tcPr>
            <w:tcW w:w="0" w:type="auto"/>
            <w:vMerge/>
            <w:vAlign w:val="center"/>
            <w:hideMark/>
          </w:tcPr>
          <w:p w:rsidR="00922E3B" w:rsidRDefault="00922E3B" w:rsidP="00262B2A">
            <w:pPr>
              <w:rPr>
                <w:sz w:val="20"/>
                <w:szCs w:val="20"/>
              </w:rPr>
            </w:pPr>
          </w:p>
        </w:tc>
      </w:tr>
      <w:tr w:rsidR="00922E3B" w:rsidTr="00262B2A">
        <w:trPr>
          <w:trHeight w:val="240"/>
        </w:trPr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22E3B" w:rsidRDefault="00922E3B" w:rsidP="00262B2A">
            <w:pPr>
              <w:rPr>
                <w:sz w:val="20"/>
                <w:szCs w:val="20"/>
              </w:rPr>
            </w:pPr>
          </w:p>
        </w:tc>
      </w:tr>
    </w:tbl>
    <w:p w:rsidR="00922E3B" w:rsidRDefault="00922E3B" w:rsidP="00922E3B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806"/>
      </w:tblGrid>
      <w:tr w:rsidR="00922E3B" w:rsidTr="00262B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3B" w:rsidRDefault="00922E3B" w:rsidP="00262B2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r>
        <w:t> </w:t>
      </w:r>
      <w:r w:rsidRPr="007418FC">
        <w:rPr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2" w:anchor="a203" w:tooltip="+" w:history="1">
        <w:r w:rsidRPr="007418FC">
          <w:rPr>
            <w:rStyle w:val="a3"/>
            <w:sz w:val="28"/>
            <w:szCs w:val="28"/>
          </w:rPr>
          <w:t>втором–седьмом</w:t>
        </w:r>
      </w:hyperlink>
      <w:r w:rsidRPr="007418FC">
        <w:rPr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процедур».</w:t>
      </w:r>
    </w:p>
    <w:p w:rsidR="00922E3B" w:rsidRPr="007418FC" w:rsidRDefault="00922E3B" w:rsidP="00922E3B">
      <w:pPr>
        <w:pStyle w:val="point"/>
        <w:spacing w:before="0" w:after="0"/>
        <w:rPr>
          <w:color w:val="FF0000"/>
          <w:sz w:val="28"/>
          <w:szCs w:val="28"/>
        </w:rPr>
      </w:pPr>
      <w:r w:rsidRPr="007418FC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86"/>
        <w:gridCol w:w="4057"/>
        <w:gridCol w:w="3041"/>
      </w:tblGrid>
      <w:tr w:rsidR="00922E3B" w:rsidRPr="007418FC" w:rsidTr="00262B2A">
        <w:trPr>
          <w:trHeight w:val="240"/>
        </w:trPr>
        <w:tc>
          <w:tcPr>
            <w:tcW w:w="17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2E3B" w:rsidRPr="007418FC" w:rsidRDefault="00922E3B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 Наименование документа</w:t>
            </w:r>
          </w:p>
        </w:tc>
        <w:tc>
          <w:tcPr>
            <w:tcW w:w="18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2E3B" w:rsidRPr="007418FC" w:rsidRDefault="00922E3B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4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2E3B" w:rsidRPr="007418FC" w:rsidRDefault="00922E3B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Форма представления</w:t>
            </w:r>
          </w:p>
        </w:tc>
      </w:tr>
      <w:tr w:rsidR="00922E3B" w:rsidRPr="007418FC" w:rsidTr="00262B2A">
        <w:trPr>
          <w:trHeight w:val="240"/>
        </w:trPr>
        <w:tc>
          <w:tcPr>
            <w:tcW w:w="1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копия решения о предоставлении горного отвода</w:t>
            </w:r>
          </w:p>
        </w:tc>
        <w:tc>
          <w:tcPr>
            <w:tcW w:w="1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proofErr w:type="gramStart"/>
            <w:r w:rsidRPr="007418FC">
              <w:rPr>
                <w:sz w:val="24"/>
                <w:szCs w:val="24"/>
              </w:rPr>
              <w:t>в соответствии с подпунктами </w:t>
            </w:r>
            <w:hyperlink r:id="rId23" w:anchor="a365" w:tooltip="+" w:history="1">
              <w:r w:rsidRPr="007418FC">
                <w:rPr>
                  <w:rStyle w:val="a3"/>
                  <w:sz w:val="24"/>
                  <w:szCs w:val="24"/>
                </w:rPr>
                <w:t>1.2–1.4</w:t>
              </w:r>
            </w:hyperlink>
            <w:r w:rsidRPr="007418FC">
              <w:rPr>
                <w:sz w:val="24"/>
                <w:szCs w:val="24"/>
              </w:rPr>
              <w:t xml:space="preserve"> пункта 1 статьи 29 Кодекса о недрах: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  <w:t>на срок, определенный проектом обоснования границ горного отвода, но не более пятидесяти лет – для добычи полезных ископаемых, использования геотермальных ресурсов недр;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  <w:t xml:space="preserve">на срок, определенный проектом </w:t>
            </w:r>
            <w:r w:rsidRPr="007418FC">
              <w:rPr>
                <w:sz w:val="24"/>
                <w:szCs w:val="24"/>
              </w:rPr>
              <w:lastRenderedPageBreak/>
              <w:t>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</w:r>
            <w:proofErr w:type="gramEnd"/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</w:r>
          </w:p>
        </w:tc>
        <w:tc>
          <w:tcPr>
            <w:tcW w:w="1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E3B" w:rsidRPr="007418FC" w:rsidRDefault="00922E3B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lastRenderedPageBreak/>
              <w:t>письменная</w:t>
            </w:r>
          </w:p>
        </w:tc>
      </w:tr>
    </w:tbl>
    <w:p w:rsidR="00922E3B" w:rsidRPr="007418FC" w:rsidRDefault="00922E3B" w:rsidP="00922E3B">
      <w:pPr>
        <w:pStyle w:val="newncpi"/>
        <w:rPr>
          <w:sz w:val="28"/>
          <w:szCs w:val="28"/>
        </w:rPr>
      </w:pPr>
      <w:r>
        <w:lastRenderedPageBreak/>
        <w:t> </w:t>
      </w:r>
      <w:r w:rsidRPr="007418FC">
        <w:rPr>
          <w:sz w:val="28"/>
          <w:szCs w:val="28"/>
        </w:rPr>
        <w:t>Иные действия, совершаемые уполномоченным органом по исполнению административного решения:</w:t>
      </w:r>
    </w:p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 xml:space="preserve">в течение пяти рабочих дней со дня принятия решения о предоставлении горного отвода оформляет </w:t>
      </w:r>
      <w:hyperlink r:id="rId24" w:anchor="a13" w:tooltip="+" w:history="1">
        <w:r w:rsidRPr="007418FC">
          <w:rPr>
            <w:rStyle w:val="a3"/>
            <w:sz w:val="28"/>
            <w:szCs w:val="28"/>
          </w:rPr>
          <w:t>акт</w:t>
        </w:r>
      </w:hyperlink>
      <w:r w:rsidRPr="007418FC">
        <w:rPr>
          <w:sz w:val="28"/>
          <w:szCs w:val="28"/>
        </w:rPr>
        <w:t>, удостоверяющий горный отвод, в трех экземплярах и направляет все экземпляры этого акта с копией решения о предоставлении горного отвода в Министерство природных ресурсов и охраны окружающей среды для государственной регистрации горного отвода;</w:t>
      </w:r>
    </w:p>
    <w:p w:rsidR="00922E3B" w:rsidRPr="007418FC" w:rsidRDefault="00922E3B" w:rsidP="00922E3B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:rsidR="00922E3B" w:rsidRDefault="00922E3B" w:rsidP="00922E3B">
      <w:pPr>
        <w:pStyle w:val="newncpi"/>
      </w:pPr>
      <w:r>
        <w:t> </w:t>
      </w:r>
    </w:p>
    <w:p w:rsidR="00922E3B" w:rsidRPr="00FA5F22" w:rsidRDefault="00922E3B" w:rsidP="00922E3B">
      <w:pPr>
        <w:shd w:val="clear" w:color="auto" w:fill="FFFFFF"/>
        <w:tabs>
          <w:tab w:val="left" w:pos="9639"/>
        </w:tabs>
        <w:spacing w:line="228" w:lineRule="auto"/>
        <w:ind w:left="-426" w:right="55" w:firstLine="567"/>
        <w:jc w:val="both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922E3B" w:rsidRPr="00FA5F22" w:rsidRDefault="00922E3B" w:rsidP="00922E3B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567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922E3B" w:rsidRPr="00FA5F22" w:rsidRDefault="00922E3B" w:rsidP="00922E3B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567"/>
        <w:jc w:val="both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922E3B" w:rsidRPr="00FA5F22" w:rsidRDefault="00922E3B" w:rsidP="00922E3B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567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922E3B" w:rsidRDefault="00922E3B" w:rsidP="00922E3B">
      <w:pPr>
        <w:pStyle w:val="newncpi"/>
      </w:pPr>
    </w:p>
    <w:p w:rsidR="00922E3B" w:rsidRPr="007418FC" w:rsidRDefault="00922E3B" w:rsidP="00922E3B">
      <w:pPr>
        <w:rPr>
          <w:rFonts w:ascii="Times New Roman" w:hAnsi="Times New Roman" w:cs="Times New Roman"/>
          <w:sz w:val="28"/>
          <w:szCs w:val="28"/>
        </w:rPr>
      </w:pPr>
    </w:p>
    <w:p w:rsidR="00DA7319" w:rsidRDefault="00AC32FA">
      <w:bookmarkStart w:id="1" w:name="_GoBack"/>
      <w:bookmarkEnd w:id="1"/>
    </w:p>
    <w:sectPr w:rsidR="00DA7319" w:rsidSect="007418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E3B"/>
    <w:rsid w:val="00007F1E"/>
    <w:rsid w:val="003E6FA1"/>
    <w:rsid w:val="008C0432"/>
    <w:rsid w:val="00922E3B"/>
    <w:rsid w:val="00AC32FA"/>
    <w:rsid w:val="00BB70AF"/>
    <w:rsid w:val="00C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E3B"/>
    <w:rPr>
      <w:color w:val="0000FF"/>
      <w:u w:val="single"/>
    </w:rPr>
  </w:style>
  <w:style w:type="paragraph" w:customStyle="1" w:styleId="titleu">
    <w:name w:val="titleu"/>
    <w:basedOn w:val="a"/>
    <w:rsid w:val="00922E3B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22E3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22E3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22E3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922E3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22E3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22E3B"/>
    <w:rPr>
      <w:b/>
      <w:bCs/>
    </w:rPr>
  </w:style>
  <w:style w:type="paragraph" w:customStyle="1" w:styleId="titlep">
    <w:name w:val="titlep"/>
    <w:basedOn w:val="a"/>
    <w:rsid w:val="00922E3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E3B"/>
    <w:rPr>
      <w:color w:val="0000FF"/>
      <w:u w:val="single"/>
    </w:rPr>
  </w:style>
  <w:style w:type="paragraph" w:customStyle="1" w:styleId="titleu">
    <w:name w:val="titleu"/>
    <w:basedOn w:val="a"/>
    <w:rsid w:val="00922E3B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22E3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22E3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22E3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922E3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22E3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22E3B"/>
    <w:rPr>
      <w:b/>
      <w:bCs/>
    </w:rPr>
  </w:style>
  <w:style w:type="paragraph" w:customStyle="1" w:styleId="titlep">
    <w:name w:val="titlep"/>
    <w:basedOn w:val="a"/>
    <w:rsid w:val="00922E3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144501&amp;a=68" TargetMode="External"/><Relationship Id="rId13" Type="http://schemas.openxmlformats.org/officeDocument/2006/relationships/hyperlink" Target="file:///C:\Users\work\Downloads\tx.dll%3fd=340930&amp;a=2" TargetMode="External"/><Relationship Id="rId18" Type="http://schemas.openxmlformats.org/officeDocument/2006/relationships/hyperlink" Target="file:///C:\Users\work\Downloads\tx.dll%3fd=430629&amp;a=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work\Downloads\tx.dll%3fd=137472&amp;a=361" TargetMode="External"/><Relationship Id="rId7" Type="http://schemas.openxmlformats.org/officeDocument/2006/relationships/hyperlink" Target="file:///C:\Users\work\Downloads\tx.dll%3fd=137472&amp;a=138" TargetMode="External"/><Relationship Id="rId12" Type="http://schemas.openxmlformats.org/officeDocument/2006/relationships/hyperlink" Target="file:///C:\Users\work\Downloads\tx.dll%3fd=430629&amp;a=11" TargetMode="External"/><Relationship Id="rId17" Type="http://schemas.openxmlformats.org/officeDocument/2006/relationships/hyperlink" Target="file:///C:\Users\work\Downloads\tx.dll%3fd=137472&amp;a=42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work\Downloads\tx.dll%3fd=137472&amp;a=425" TargetMode="External"/><Relationship Id="rId20" Type="http://schemas.openxmlformats.org/officeDocument/2006/relationships/hyperlink" Target="file:///C:\Users\work\Downloads\tx.dll%3fd=137472&amp;a=156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137472&amp;a=138" TargetMode="External"/><Relationship Id="rId11" Type="http://schemas.openxmlformats.org/officeDocument/2006/relationships/hyperlink" Target="file:///C:\Users\work\Downloads\tx.dll%3fd=466341&amp;a=5" TargetMode="External"/><Relationship Id="rId24" Type="http://schemas.openxmlformats.org/officeDocument/2006/relationships/hyperlink" Target="file:///C:\Users\work\Downloads\tx.dll%3fd=430629&amp;a=13" TargetMode="External"/><Relationship Id="rId5" Type="http://schemas.openxmlformats.org/officeDocument/2006/relationships/hyperlink" Target="file:///C:\Users\work\Downloads\tx.dll%3fd=466341&amp;a=191" TargetMode="External"/><Relationship Id="rId15" Type="http://schemas.openxmlformats.org/officeDocument/2006/relationships/hyperlink" Target="file:///C:\Users\work\Downloads\tx.dll%3fd=144501&amp;a=68" TargetMode="External"/><Relationship Id="rId23" Type="http://schemas.openxmlformats.org/officeDocument/2006/relationships/hyperlink" Target="file:///C:\Users\work\Downloads\tx.dll%3fd=137472&amp;a=365" TargetMode="External"/><Relationship Id="rId10" Type="http://schemas.openxmlformats.org/officeDocument/2006/relationships/hyperlink" Target="file:///C:\Users\work\Downloads\tx.dll%3fd=347250&amp;a=1" TargetMode="External"/><Relationship Id="rId19" Type="http://schemas.openxmlformats.org/officeDocument/2006/relationships/hyperlink" Target="file:///C:\Users\work\Downloads\tx.dll%3fd=144501&amp;a=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tx.dll%3fd=459661&amp;a=10" TargetMode="External"/><Relationship Id="rId14" Type="http://schemas.openxmlformats.org/officeDocument/2006/relationships/hyperlink" Target="file:///C:\Users\work\Downloads\tx.dll%3fd=137472&amp;a=58" TargetMode="External"/><Relationship Id="rId22" Type="http://schemas.openxmlformats.org/officeDocument/2006/relationships/hyperlink" Target="file:///C:\Users\work\Downloads\tx.dll%3fd=144501&amp;a=203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9712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2</cp:revision>
  <dcterms:created xsi:type="dcterms:W3CDTF">2022-10-28T18:23:00Z</dcterms:created>
  <dcterms:modified xsi:type="dcterms:W3CDTF">2022-10-29T13:10:00Z</dcterms:modified>
</cp:coreProperties>
</file>