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rsidR="00266988" w:rsidRDefault="00266988" w:rsidP="00FD15B4">
      <w:pPr>
        <w:spacing w:after="0" w:line="240" w:lineRule="auto"/>
        <w:ind w:firstLine="709"/>
        <w:jc w:val="both"/>
        <w:rPr>
          <w:rFonts w:ascii="Times New Roman" w:hAnsi="Times New Roman"/>
          <w:b/>
          <w:spacing w:val="-2"/>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Президент Беларуси А.Г.Лукашенко</w:t>
      </w:r>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государство-образующих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w:t>
      </w:r>
      <w:r w:rsidRPr="001B7699">
        <w:rPr>
          <w:rFonts w:ascii="Times New Roman" w:hAnsi="Times New Roman"/>
          <w:sz w:val="30"/>
          <w:szCs w:val="30"/>
        </w:rPr>
        <w:lastRenderedPageBreak/>
        <w:t xml:space="preserve">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r w:rsidRPr="001B7699">
        <w:rPr>
          <w:rFonts w:ascii="Times New Roman" w:hAnsi="Times New Roman"/>
          <w:b/>
          <w:sz w:val="30"/>
          <w:szCs w:val="30"/>
        </w:rPr>
        <w:t>Туровское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Слуцкое, Мстиславское, Пинское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подкоморские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Грюнвальдской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ВКЛ заключить Люблинскую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Речь Посполитая</w:t>
      </w:r>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Нахождение белорусских земель в составе Речи Посполитой стало по факту этноцидом белорусов</w:t>
      </w:r>
      <w:r w:rsidRPr="001B7699">
        <w:rPr>
          <w:rFonts w:ascii="Times New Roman" w:hAnsi="Times New Roman"/>
          <w:sz w:val="30"/>
          <w:szCs w:val="30"/>
        </w:rPr>
        <w:t xml:space="preserve">. Запреты и гонения со стороны </w:t>
      </w:r>
      <w:r w:rsidRPr="001B7699">
        <w:rPr>
          <w:rFonts w:ascii="Times New Roman" w:hAnsi="Times New Roman"/>
          <w:sz w:val="30"/>
          <w:szCs w:val="30"/>
        </w:rPr>
        <w:lastRenderedPageBreak/>
        <w:t>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w:t>
      </w:r>
      <w:r w:rsidRPr="001B7699">
        <w:rPr>
          <w:rFonts w:ascii="Times New Roman" w:hAnsi="Times New Roman"/>
          <w:b/>
          <w:sz w:val="30"/>
          <w:szCs w:val="30"/>
          <w:lang w:val="be-BY"/>
        </w:rPr>
        <w:lastRenderedPageBreak/>
        <w:t>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Владислав Студницкий-Гизберт</w:t>
      </w:r>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полонизаторскую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Она осуществлялась методами экономической, политической и </w:t>
      </w:r>
      <w:r w:rsidRPr="001B7699">
        <w:rPr>
          <w:rFonts w:ascii="Times New Roman" w:hAnsi="Times New Roman"/>
          <w:sz w:val="30"/>
          <w:szCs w:val="30"/>
        </w:rPr>
        <w:lastRenderedPageBreak/>
        <w:t xml:space="preserve">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Польская элита прямо говорила о необходимости решения своих экономических и демографических проблем за счет белорусской территории. На западнобелорусских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западнобелорусская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r w:rsidRPr="001B7699">
        <w:rPr>
          <w:rFonts w:ascii="Times New Roman" w:hAnsi="Times New Roman"/>
          <w:spacing w:val="-4"/>
          <w:sz w:val="30"/>
          <w:szCs w:val="30"/>
          <w:lang w:eastAsia="ru-RU"/>
        </w:rPr>
        <w:t xml:space="preserve">белорусскоязычное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Береза-Картузская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западнобелорусской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r>
        <w:rPr>
          <w:rFonts w:ascii="Times New Roman" w:hAnsi="Times New Roman"/>
          <w:bCs/>
          <w:sz w:val="30"/>
          <w:szCs w:val="30"/>
        </w:rPr>
        <w:t xml:space="preserve">Винценты </w:t>
      </w:r>
      <w:r w:rsidRPr="001B7699">
        <w:rPr>
          <w:rFonts w:ascii="Times New Roman" w:hAnsi="Times New Roman"/>
          <w:bCs/>
          <w:sz w:val="30"/>
          <w:szCs w:val="30"/>
        </w:rPr>
        <w:t>Витос,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ассимилированием“.</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r w:rsidRPr="001B7699">
        <w:rPr>
          <w:rFonts w:ascii="Times New Roman" w:hAnsi="Times New Roman"/>
          <w:bCs/>
          <w:sz w:val="30"/>
          <w:szCs w:val="30"/>
        </w:rPr>
        <w:t xml:space="preserve">Мейштовичу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новая самостоятельная республика стойко преодолела жесточайшие </w:t>
      </w:r>
      <w:r w:rsidRPr="001B7699">
        <w:rPr>
          <w:rFonts w:ascii="Times New Roman" w:hAnsi="Times New Roman"/>
          <w:b/>
          <w:spacing w:val="-4"/>
          <w:sz w:val="30"/>
          <w:szCs w:val="30"/>
        </w:rPr>
        <w:lastRenderedPageBreak/>
        <w:t>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Гусаковский.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w:t>
      </w:r>
      <w:r w:rsidRPr="001B7699">
        <w:rPr>
          <w:rFonts w:ascii="Times New Roman" w:hAnsi="Times New Roman"/>
          <w:sz w:val="30"/>
          <w:szCs w:val="30"/>
        </w:rPr>
        <w:lastRenderedPageBreak/>
        <w:t xml:space="preserve">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r w:rsidRPr="005A0FFF">
        <w:rPr>
          <w:rFonts w:ascii="Times New Roman" w:hAnsi="Times New Roman"/>
          <w:i/>
          <w:spacing w:val="-4"/>
          <w:sz w:val="28"/>
          <w:szCs w:val="28"/>
        </w:rPr>
        <w:t>ое</w:t>
      </w:r>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r w:rsidRPr="00FB66E4">
        <w:rPr>
          <w:rFonts w:ascii="Times New Roman" w:hAnsi="Times New Roman"/>
          <w:i/>
          <w:sz w:val="28"/>
          <w:szCs w:val="28"/>
        </w:rPr>
        <w:t>ое</w:t>
      </w:r>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Туровское княжество, Киевская Русь, Великое Княжество Литовское, Русское и Жемойтское,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Белорусская Советская Социалистическая Республика, Республика 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А.Г.Лукашенко,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0"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0"/>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”Тростенец“,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”Масюковщина“, ”Буйничское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На данный момент функционируют следующие военно-патриотические клубы на базе соединений, воинских частей, отдельных подразделений внутренних войск: г.Минск, Минский район – ”Рысь“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г.Брест – ”Крепость“ (в/ч 5526 – 28 чел.); г.Барановичи – ”Патриот“ (в/ч 7404 – </w:t>
      </w:r>
      <w:r w:rsidRPr="00313D5C">
        <w:rPr>
          <w:rFonts w:ascii="Times New Roman" w:hAnsi="Times New Roman"/>
          <w:i/>
          <w:sz w:val="28"/>
          <w:szCs w:val="28"/>
        </w:rPr>
        <w:lastRenderedPageBreak/>
        <w:t xml:space="preserve">72 чел.); г.Витебск – ”Витязь“ (в/ч 5524 – 50 чел.); гг.Полоцк,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70 чел.); г.Орша – ”Витязь“ (в/ч 5524 –</w:t>
      </w:r>
      <w:r w:rsidR="00313D5C">
        <w:rPr>
          <w:rFonts w:ascii="Times New Roman" w:hAnsi="Times New Roman"/>
          <w:i/>
          <w:sz w:val="28"/>
          <w:szCs w:val="28"/>
        </w:rPr>
        <w:t xml:space="preserve"> </w:t>
      </w:r>
      <w:r w:rsidRPr="00313D5C">
        <w:rPr>
          <w:rFonts w:ascii="Times New Roman" w:hAnsi="Times New Roman"/>
          <w:i/>
          <w:sz w:val="28"/>
          <w:szCs w:val="28"/>
        </w:rPr>
        <w:t>27 чел.); г.Гомель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60 чел.); г.Речица – ”Радзiма“</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г.Гродно – ”Циркон“ (в/ч 5522 – 46 чел.); г.Волковыск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г.Островец – ”Единство“ (в/ч 7434 – </w:t>
      </w:r>
      <w:r w:rsidRPr="00313D5C">
        <w:rPr>
          <w:rFonts w:ascii="Times New Roman" w:hAnsi="Times New Roman"/>
          <w:i/>
          <w:sz w:val="28"/>
          <w:szCs w:val="28"/>
        </w:rPr>
        <w:br/>
        <w:t>42 чел.); г.Могилев – ”Защитник“ (в/ч 6713 – 25 чел.); г.Бобруйск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г.Минске (у Вечного огня на площади Победы), в г.Бресте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г.Минска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lastRenderedPageBreak/>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Я гэты край Радз</w:t>
      </w:r>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г.Ржеве, Пискаревское кладбище в г.Санкт-Петербурге, могилевское </w:t>
      </w:r>
      <w:r>
        <w:rPr>
          <w:rFonts w:ascii="Times New Roman" w:hAnsi="Times New Roman"/>
          <w:i/>
          <w:sz w:val="28"/>
          <w:szCs w:val="28"/>
        </w:rPr>
        <w:t>”</w:t>
      </w:r>
      <w:r w:rsidRPr="002C50C8">
        <w:rPr>
          <w:rFonts w:ascii="Times New Roman" w:hAnsi="Times New Roman"/>
          <w:i/>
          <w:sz w:val="28"/>
          <w:szCs w:val="28"/>
        </w:rPr>
        <w:t>Буйничское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1" w:name="_Hlk113606234"/>
      <w:r w:rsidRPr="002C50C8">
        <w:rPr>
          <w:rFonts w:ascii="Times New Roman" w:hAnsi="Times New Roman"/>
          <w:b/>
          <w:sz w:val="30"/>
          <w:szCs w:val="30"/>
        </w:rPr>
        <w:lastRenderedPageBreak/>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1"/>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Молодежь Беларуси государствоцентрична</w:t>
      </w:r>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на основе открытого урока Президента Республики Беларусь А.Г.Лукашенко ”Историческая память – дорога в будущее“,</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B83BC8">
      <w:pPr>
        <w:autoSpaceDE w:val="0"/>
        <w:autoSpaceDN w:val="0"/>
        <w:adjustRightInd w:val="0"/>
        <w:spacing w:after="0" w:line="240" w:lineRule="auto"/>
        <w:rPr>
          <w:rFonts w:ascii="Times New Roman" w:hAnsi="Times New Roman"/>
          <w:b/>
          <w:bCs/>
          <w:i/>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World Happiness Report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lastRenderedPageBreak/>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«Гомсельмаш»</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w:t>
      </w:r>
      <w:r w:rsidRPr="00E76DD9">
        <w:rPr>
          <w:rFonts w:ascii="Times New Roman" w:hAnsi="Times New Roman"/>
          <w:i/>
          <w:spacing w:val="-2"/>
          <w:sz w:val="30"/>
          <w:szCs w:val="30"/>
        </w:rPr>
        <w:lastRenderedPageBreak/>
        <w:t>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(дизель-троллейвозного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импортонезависимость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«Нафтан»</w:t>
      </w:r>
      <w:r w:rsidRPr="00E76DD9">
        <w:rPr>
          <w:rFonts w:ascii="Times New Roman" w:hAnsi="Times New Roman"/>
          <w:spacing w:val="-2"/>
          <w:sz w:val="30"/>
          <w:szCs w:val="30"/>
        </w:rPr>
        <w:t xml:space="preserve">, что позволило заменить изношенное оборудование, </w:t>
      </w:r>
      <w:r w:rsidRPr="00E76DD9">
        <w:rPr>
          <w:rFonts w:ascii="Times New Roman" w:hAnsi="Times New Roman"/>
          <w:spacing w:val="-2"/>
          <w:sz w:val="30"/>
          <w:szCs w:val="30"/>
        </w:rPr>
        <w:lastRenderedPageBreak/>
        <w:t xml:space="preserve">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Строительство цеха по производству азотной кислоты с реконструкцией действующего производства карбамидо-аммиачной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r w:rsidRPr="00E76DD9">
        <w:rPr>
          <w:rFonts w:ascii="Times New Roman" w:hAnsi="Times New Roman"/>
          <w:b/>
          <w:spacing w:val="-2"/>
          <w:sz w:val="30"/>
          <w:szCs w:val="30"/>
        </w:rPr>
        <w:t>БелАЭС</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БелАЭС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БелАЭС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w:t>
      </w:r>
      <w:r w:rsidRPr="00E76DD9">
        <w:rPr>
          <w:rFonts w:ascii="Times New Roman" w:hAnsi="Times New Roman"/>
          <w:spacing w:val="-2"/>
          <w:sz w:val="30"/>
          <w:szCs w:val="30"/>
        </w:rPr>
        <w:lastRenderedPageBreak/>
        <w:t xml:space="preserve">электростанции осуществляется планомерное увеличение строительства </w:t>
      </w:r>
      <w:r w:rsidRPr="00E76DD9">
        <w:rPr>
          <w:rFonts w:ascii="Times New Roman" w:hAnsi="Times New Roman"/>
          <w:b/>
          <w:spacing w:val="-2"/>
          <w:sz w:val="30"/>
          <w:szCs w:val="30"/>
        </w:rPr>
        <w:t>многоквартирных электродомов</w:t>
      </w:r>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lastRenderedPageBreak/>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обеспечивать потребности населения в </w:t>
      </w:r>
      <w:r w:rsidRPr="00E76DD9">
        <w:rPr>
          <w:rFonts w:ascii="Times New Roman" w:hAnsi="Times New Roman"/>
          <w:spacing w:val="-2"/>
          <w:sz w:val="30"/>
          <w:szCs w:val="30"/>
        </w:rPr>
        <w:lastRenderedPageBreak/>
        <w:t>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Зеленолужской</w:t>
      </w:r>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r w:rsidRPr="00E721AF">
        <w:rPr>
          <w:rFonts w:ascii="Times New Roman" w:hAnsi="Times New Roman"/>
          <w:spacing w:val="-2"/>
          <w:sz w:val="30"/>
          <w:szCs w:val="30"/>
        </w:rPr>
        <w:t>Viber</w:t>
      </w:r>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r w:rsidRPr="00E721AF">
        <w:rPr>
          <w:rFonts w:ascii="Times New Roman" w:hAnsi="Times New Roman"/>
          <w:spacing w:val="-2"/>
          <w:sz w:val="30"/>
          <w:szCs w:val="30"/>
        </w:rPr>
        <w:t>Flo</w:t>
      </w:r>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Испытания новой технологии проводились в двух опытных зонах: в индустриальном парке «Великий Камень» и в Копыльском районе. 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lastRenderedPageBreak/>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Риу-Гранде-ду-Сул (Бразилия) </w:t>
      </w:r>
      <w:r w:rsidRPr="00E76DD9">
        <w:rPr>
          <w:rFonts w:ascii="Times New Roman" w:hAnsi="Times New Roman"/>
          <w:i/>
          <w:spacing w:val="-2"/>
          <w:sz w:val="30"/>
          <w:szCs w:val="30"/>
        </w:rPr>
        <w:t>(согласно Международному рейтингу Transparent Ranking: Institutional Repositories by Google Scholar)</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 xml:space="preserve">(препараты, использующие </w:t>
      </w:r>
      <w:r w:rsidRPr="00E76DD9">
        <w:rPr>
          <w:rFonts w:ascii="Times New Roman" w:hAnsi="Times New Roman"/>
          <w:i/>
          <w:spacing w:val="-2"/>
          <w:sz w:val="30"/>
          <w:szCs w:val="30"/>
        </w:rPr>
        <w:lastRenderedPageBreak/>
        <w:t>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w:t>
      </w:r>
      <w:r w:rsidRPr="00E76DD9">
        <w:rPr>
          <w:rFonts w:ascii="Times New Roman" w:hAnsi="Times New Roman"/>
          <w:spacing w:val="-2"/>
          <w:sz w:val="30"/>
          <w:szCs w:val="30"/>
        </w:rPr>
        <w:lastRenderedPageBreak/>
        <w:t xml:space="preserve">заболеваниям (лимфогранулематоз, нефробластома)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 xml:space="preserve">реализуются образовательные </w:t>
      </w:r>
      <w:r w:rsidRPr="00E76DD9">
        <w:rPr>
          <w:rFonts w:ascii="Times New Roman" w:hAnsi="Times New Roman"/>
          <w:b/>
          <w:spacing w:val="-2"/>
          <w:sz w:val="30"/>
          <w:szCs w:val="30"/>
        </w:rPr>
        <w:lastRenderedPageBreak/>
        <w:t>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xml:space="preserve">, который способствует сохранению и популяризации славянской культуры, расширению международных связей и укреплению </w:t>
      </w:r>
      <w:r w:rsidRPr="00E76DD9">
        <w:rPr>
          <w:rFonts w:ascii="Times New Roman" w:hAnsi="Times New Roman"/>
          <w:spacing w:val="-2"/>
          <w:sz w:val="30"/>
          <w:szCs w:val="30"/>
          <w:lang w:val="be-BY"/>
        </w:rPr>
        <w:lastRenderedPageBreak/>
        <w:t>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E721AF" w:rsidRPr="00065F6B" w:rsidRDefault="00E721AF" w:rsidP="00E721AF">
      <w:pPr>
        <w:spacing w:after="0" w:line="240" w:lineRule="auto"/>
        <w:ind w:firstLine="709"/>
        <w:jc w:val="both"/>
        <w:rPr>
          <w:rFonts w:ascii="Times New Roman" w:hAnsi="Times New Roman"/>
          <w:sz w:val="30"/>
          <w:szCs w:val="30"/>
        </w:rPr>
      </w:pPr>
    </w:p>
    <w:p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58575C"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материалов БелТА и «СБ. Беларусь сегодня»</w:t>
      </w:r>
    </w:p>
    <w:p w:rsidR="004B3AAB" w:rsidRDefault="004B3AAB" w:rsidP="00E721AF">
      <w:pPr>
        <w:autoSpaceDE w:val="0"/>
        <w:autoSpaceDN w:val="0"/>
        <w:adjustRightInd w:val="0"/>
        <w:spacing w:after="0" w:line="240" w:lineRule="auto"/>
        <w:jc w:val="right"/>
        <w:rPr>
          <w:rFonts w:ascii="Times New Roman" w:hAnsi="Times New Roman"/>
          <w:i/>
          <w:sz w:val="30"/>
          <w:szCs w:val="30"/>
        </w:rPr>
      </w:pPr>
      <w:bookmarkStart w:id="2" w:name="_GoBack"/>
      <w:bookmarkEnd w:id="2"/>
    </w:p>
    <w:sectPr w:rsidR="004B3AAB"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C7" w:rsidRDefault="00CC64C7" w:rsidP="003C3604">
      <w:pPr>
        <w:spacing w:after="0" w:line="240" w:lineRule="auto"/>
      </w:pPr>
      <w:r>
        <w:separator/>
      </w:r>
    </w:p>
  </w:endnote>
  <w:endnote w:type="continuationSeparator" w:id="0">
    <w:p w:rsidR="00CC64C7" w:rsidRDefault="00CC64C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C7" w:rsidRDefault="00CC64C7" w:rsidP="003C3604">
      <w:pPr>
        <w:spacing w:after="0" w:line="240" w:lineRule="auto"/>
      </w:pPr>
      <w:r>
        <w:separator/>
      </w:r>
    </w:p>
  </w:footnote>
  <w:footnote w:type="continuationSeparator" w:id="0">
    <w:p w:rsidR="00CC64C7" w:rsidRDefault="00CC64C7"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B6" w:rsidRPr="003C3604" w:rsidRDefault="005A3EB6" w:rsidP="004304FF">
    <w:pPr>
      <w:pStyle w:val="a9"/>
      <w:jc w:val="center"/>
      <w:rPr>
        <w:rFonts w:ascii="Times New Roman" w:hAnsi="Times New Roman"/>
        <w:sz w:val="28"/>
      </w:rPr>
    </w:pPr>
  </w:p>
  <w:p w:rsidR="005A3EB6" w:rsidRPr="004304FF" w:rsidRDefault="0077434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D41C8">
      <w:rPr>
        <w:rFonts w:ascii="Times New Roman" w:hAnsi="Times New Roman"/>
        <w:noProof/>
        <w:sz w:val="24"/>
        <w:szCs w:val="24"/>
      </w:rPr>
      <w:t>27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D41C8"/>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7"/>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0994C4-697E-4C27-AC3F-B40DF67E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360-1E2D-4A6E-9574-26A4F6A1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Сакун Наталья Михайловна</cp:lastModifiedBy>
  <cp:revision>3</cp:revision>
  <cp:lastPrinted>2022-09-09T06:03:00Z</cp:lastPrinted>
  <dcterms:created xsi:type="dcterms:W3CDTF">2022-09-09T06:20:00Z</dcterms:created>
  <dcterms:modified xsi:type="dcterms:W3CDTF">2022-09-12T13:07:00Z</dcterms:modified>
</cp:coreProperties>
</file>